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13" w:rsidRDefault="004E57AA" w:rsidP="00C44D13">
      <w:pPr>
        <w:jc w:val="center"/>
        <w:rPr>
          <w:b/>
          <w:sz w:val="24"/>
          <w:szCs w:val="24"/>
        </w:rPr>
      </w:pPr>
      <w:r w:rsidRPr="00C44D13">
        <w:rPr>
          <w:b/>
          <w:sz w:val="24"/>
          <w:szCs w:val="24"/>
        </w:rPr>
        <w:t>Credit Card Journals</w:t>
      </w:r>
    </w:p>
    <w:p w:rsidR="00733E93" w:rsidRPr="004E57AA" w:rsidRDefault="00C85BBA">
      <w:pPr>
        <w:rPr>
          <w:sz w:val="20"/>
          <w:szCs w:val="20"/>
        </w:rPr>
      </w:pPr>
      <w:r w:rsidRPr="004E57AA">
        <w:rPr>
          <w:sz w:val="20"/>
          <w:szCs w:val="20"/>
        </w:rPr>
        <w:t xml:space="preserve">Departments which accept credit cards are assigned a </w:t>
      </w:r>
      <w:r w:rsidR="00733E93" w:rsidRPr="004E57AA">
        <w:rPr>
          <w:sz w:val="20"/>
          <w:szCs w:val="20"/>
        </w:rPr>
        <w:t xml:space="preserve">Bank of America Merchant ID number </w:t>
      </w:r>
      <w:r w:rsidRPr="004E57AA">
        <w:rPr>
          <w:sz w:val="20"/>
          <w:szCs w:val="20"/>
        </w:rPr>
        <w:t xml:space="preserve">from Treasury.  This merchant ID number is </w:t>
      </w:r>
      <w:r w:rsidR="00733E93" w:rsidRPr="004E57AA">
        <w:rPr>
          <w:sz w:val="20"/>
          <w:szCs w:val="20"/>
        </w:rPr>
        <w:t xml:space="preserve">provided to </w:t>
      </w:r>
      <w:r w:rsidRPr="004E57AA">
        <w:rPr>
          <w:sz w:val="20"/>
          <w:szCs w:val="20"/>
        </w:rPr>
        <w:t xml:space="preserve">process credit card transactions </w:t>
      </w:r>
      <w:r w:rsidR="00733E93" w:rsidRPr="004E57AA">
        <w:rPr>
          <w:sz w:val="20"/>
          <w:szCs w:val="20"/>
        </w:rPr>
        <w:t xml:space="preserve">and </w:t>
      </w:r>
      <w:r w:rsidR="00055984">
        <w:rPr>
          <w:sz w:val="20"/>
          <w:szCs w:val="20"/>
        </w:rPr>
        <w:t xml:space="preserve">to </w:t>
      </w:r>
      <w:r w:rsidR="00733E93" w:rsidRPr="004E57AA">
        <w:rPr>
          <w:sz w:val="20"/>
          <w:szCs w:val="20"/>
        </w:rPr>
        <w:t xml:space="preserve">identify </w:t>
      </w:r>
      <w:r w:rsidRPr="004E57AA">
        <w:rPr>
          <w:sz w:val="20"/>
          <w:szCs w:val="20"/>
        </w:rPr>
        <w:t xml:space="preserve">credit card </w:t>
      </w:r>
      <w:r w:rsidR="00733E93" w:rsidRPr="004E57AA">
        <w:rPr>
          <w:sz w:val="20"/>
          <w:szCs w:val="20"/>
        </w:rPr>
        <w:t>deposit</w:t>
      </w:r>
      <w:r w:rsidRPr="004E57AA">
        <w:rPr>
          <w:sz w:val="20"/>
          <w:szCs w:val="20"/>
        </w:rPr>
        <w:t>s to</w:t>
      </w:r>
      <w:r w:rsidR="00733E93" w:rsidRPr="004E57AA">
        <w:rPr>
          <w:sz w:val="20"/>
          <w:szCs w:val="20"/>
        </w:rPr>
        <w:t xml:space="preserve"> the </w:t>
      </w:r>
      <w:r w:rsidRPr="004E57AA">
        <w:rPr>
          <w:sz w:val="20"/>
          <w:szCs w:val="20"/>
        </w:rPr>
        <w:t>bank.</w:t>
      </w:r>
      <w:r w:rsidR="00733E93" w:rsidRPr="004E57AA">
        <w:rPr>
          <w:sz w:val="20"/>
          <w:szCs w:val="20"/>
        </w:rPr>
        <w:t xml:space="preserve"> </w:t>
      </w:r>
    </w:p>
    <w:p w:rsidR="00733E93" w:rsidRPr="004E57AA" w:rsidRDefault="00733E93">
      <w:pPr>
        <w:rPr>
          <w:sz w:val="20"/>
          <w:szCs w:val="20"/>
        </w:rPr>
      </w:pPr>
      <w:r w:rsidRPr="004E57AA">
        <w:rPr>
          <w:sz w:val="20"/>
          <w:szCs w:val="20"/>
        </w:rPr>
        <w:t>Currently</w:t>
      </w:r>
      <w:r w:rsidR="00C85BBA" w:rsidRPr="004E57AA">
        <w:rPr>
          <w:sz w:val="20"/>
          <w:szCs w:val="20"/>
        </w:rPr>
        <w:t>,</w:t>
      </w:r>
      <w:r w:rsidRPr="004E57AA">
        <w:rPr>
          <w:sz w:val="20"/>
          <w:szCs w:val="20"/>
        </w:rPr>
        <w:t xml:space="preserve"> the bank line </w:t>
      </w:r>
      <w:r w:rsidR="00C85BBA" w:rsidRPr="004E57AA">
        <w:rPr>
          <w:sz w:val="20"/>
          <w:szCs w:val="20"/>
        </w:rPr>
        <w:t>description on credit card deposit journals lists</w:t>
      </w:r>
      <w:r w:rsidRPr="004E57AA">
        <w:rPr>
          <w:sz w:val="20"/>
          <w:szCs w:val="20"/>
        </w:rPr>
        <w:t xml:space="preserve"> the last six digits of the Bank of America Merchant ID and the credit card set</w:t>
      </w:r>
      <w:r w:rsidR="00BF1B44">
        <w:rPr>
          <w:sz w:val="20"/>
          <w:szCs w:val="20"/>
        </w:rPr>
        <w:t>tlement date.  Ex:  159999 08/31</w:t>
      </w:r>
      <w:r w:rsidRPr="004E57AA">
        <w:rPr>
          <w:sz w:val="20"/>
          <w:szCs w:val="20"/>
        </w:rPr>
        <w:t>/2015.</w:t>
      </w:r>
    </w:p>
    <w:p w:rsidR="00733E93" w:rsidRPr="004E57AA" w:rsidRDefault="00733E93">
      <w:pPr>
        <w:rPr>
          <w:sz w:val="20"/>
          <w:szCs w:val="20"/>
        </w:rPr>
      </w:pPr>
      <w:r w:rsidRPr="004E57AA">
        <w:rPr>
          <w:sz w:val="20"/>
          <w:szCs w:val="20"/>
        </w:rPr>
        <w:t xml:space="preserve">Effective September 1, 2015, the </w:t>
      </w:r>
      <w:r w:rsidR="00C85BBA" w:rsidRPr="004E57AA">
        <w:rPr>
          <w:sz w:val="20"/>
          <w:szCs w:val="20"/>
        </w:rPr>
        <w:t>bank</w:t>
      </w:r>
      <w:r w:rsidRPr="004E57AA">
        <w:rPr>
          <w:sz w:val="20"/>
          <w:szCs w:val="20"/>
        </w:rPr>
        <w:t xml:space="preserve"> line description for </w:t>
      </w:r>
      <w:r w:rsidR="00C85BBA" w:rsidRPr="004E57AA">
        <w:rPr>
          <w:sz w:val="20"/>
          <w:szCs w:val="20"/>
        </w:rPr>
        <w:t xml:space="preserve">the </w:t>
      </w:r>
      <w:r w:rsidRPr="004E57AA">
        <w:rPr>
          <w:sz w:val="20"/>
          <w:szCs w:val="20"/>
        </w:rPr>
        <w:t xml:space="preserve">credit card bank will be changing from recording the last six digits of the Bank of America Merchant </w:t>
      </w:r>
      <w:r w:rsidR="00055984" w:rsidRPr="004E57AA">
        <w:rPr>
          <w:sz w:val="20"/>
          <w:szCs w:val="20"/>
        </w:rPr>
        <w:t xml:space="preserve">ID </w:t>
      </w:r>
      <w:r w:rsidR="00055984">
        <w:rPr>
          <w:sz w:val="20"/>
          <w:szCs w:val="20"/>
        </w:rPr>
        <w:t xml:space="preserve">and settlement date </w:t>
      </w:r>
      <w:r w:rsidRPr="004E57AA">
        <w:rPr>
          <w:sz w:val="20"/>
          <w:szCs w:val="20"/>
        </w:rPr>
        <w:t xml:space="preserve">to </w:t>
      </w:r>
      <w:r w:rsidR="00BF1B44">
        <w:rPr>
          <w:sz w:val="20"/>
          <w:szCs w:val="20"/>
        </w:rPr>
        <w:t xml:space="preserve">all </w:t>
      </w:r>
      <w:r w:rsidRPr="004E57AA">
        <w:rPr>
          <w:sz w:val="20"/>
          <w:szCs w:val="20"/>
        </w:rPr>
        <w:t>twelve digits of the Bank of America Merchant ID</w:t>
      </w:r>
      <w:r w:rsidR="00C85BBA" w:rsidRPr="004E57AA">
        <w:rPr>
          <w:sz w:val="20"/>
          <w:szCs w:val="20"/>
        </w:rPr>
        <w:t xml:space="preserve"> and the settlement date</w:t>
      </w:r>
      <w:r w:rsidRPr="004E57AA">
        <w:rPr>
          <w:sz w:val="20"/>
          <w:szCs w:val="20"/>
        </w:rPr>
        <w:t>.</w:t>
      </w:r>
      <w:r w:rsidR="00BF1B44">
        <w:rPr>
          <w:sz w:val="20"/>
          <w:szCs w:val="20"/>
        </w:rPr>
        <w:t xml:space="preserve">  Ex:  345732159999 09</w:t>
      </w:r>
      <w:r w:rsidR="00C85BBA" w:rsidRPr="004E57AA">
        <w:rPr>
          <w:sz w:val="20"/>
          <w:szCs w:val="20"/>
        </w:rPr>
        <w:t>/01/2015</w:t>
      </w:r>
      <w:r w:rsidR="00BF1B44">
        <w:rPr>
          <w:sz w:val="20"/>
          <w:szCs w:val="20"/>
        </w:rPr>
        <w:t>.</w:t>
      </w:r>
      <w:r w:rsidRPr="004E57AA">
        <w:rPr>
          <w:sz w:val="20"/>
          <w:szCs w:val="20"/>
        </w:rPr>
        <w:t xml:space="preserve"> </w:t>
      </w:r>
    </w:p>
    <w:p w:rsidR="00193494" w:rsidRPr="004E57AA" w:rsidRDefault="00733E93">
      <w:pPr>
        <w:rPr>
          <w:sz w:val="20"/>
          <w:szCs w:val="20"/>
        </w:rPr>
      </w:pPr>
      <w:r w:rsidRPr="004E57AA">
        <w:rPr>
          <w:sz w:val="20"/>
          <w:szCs w:val="20"/>
        </w:rPr>
        <w:t xml:space="preserve">This change is occurring because </w:t>
      </w:r>
      <w:r w:rsidR="000E39D2">
        <w:rPr>
          <w:sz w:val="20"/>
          <w:szCs w:val="20"/>
        </w:rPr>
        <w:t xml:space="preserve">Bank of America issued new </w:t>
      </w:r>
      <w:r w:rsidRPr="004E57AA">
        <w:rPr>
          <w:sz w:val="20"/>
          <w:szCs w:val="20"/>
        </w:rPr>
        <w:t xml:space="preserve">Merchant ID numbers </w:t>
      </w:r>
      <w:r w:rsidR="000E39D2">
        <w:rPr>
          <w:sz w:val="20"/>
          <w:szCs w:val="20"/>
        </w:rPr>
        <w:t>and several of the new number</w:t>
      </w:r>
      <w:r w:rsidR="00CB1476">
        <w:rPr>
          <w:sz w:val="20"/>
          <w:szCs w:val="20"/>
        </w:rPr>
        <w:t>s</w:t>
      </w:r>
      <w:r w:rsidR="000E39D2">
        <w:rPr>
          <w:sz w:val="20"/>
          <w:szCs w:val="20"/>
        </w:rPr>
        <w:t xml:space="preserve"> </w:t>
      </w:r>
      <w:r w:rsidRPr="004E57AA">
        <w:rPr>
          <w:sz w:val="20"/>
          <w:szCs w:val="20"/>
        </w:rPr>
        <w:t>have</w:t>
      </w:r>
      <w:r w:rsidR="00C85BBA" w:rsidRPr="004E57AA">
        <w:rPr>
          <w:sz w:val="20"/>
          <w:szCs w:val="20"/>
        </w:rPr>
        <w:t xml:space="preserve"> the same last six digits.</w:t>
      </w:r>
      <w:r w:rsidR="00CB1476">
        <w:rPr>
          <w:sz w:val="20"/>
          <w:szCs w:val="20"/>
        </w:rPr>
        <w:t xml:space="preserve"> </w:t>
      </w:r>
      <w:r w:rsidRPr="004E57AA">
        <w:rPr>
          <w:sz w:val="20"/>
          <w:szCs w:val="20"/>
        </w:rPr>
        <w:t xml:space="preserve"> </w:t>
      </w:r>
      <w:bookmarkStart w:id="0" w:name="_GoBack"/>
      <w:bookmarkEnd w:id="0"/>
      <w:r w:rsidRPr="004E57AA">
        <w:rPr>
          <w:sz w:val="20"/>
          <w:szCs w:val="20"/>
        </w:rPr>
        <w:t xml:space="preserve">The six digit duplication </w:t>
      </w:r>
      <w:r w:rsidR="00C85BBA" w:rsidRPr="004E57AA">
        <w:rPr>
          <w:sz w:val="20"/>
          <w:szCs w:val="20"/>
        </w:rPr>
        <w:t>prevents efficient identification of department’s credit card deposits.</w:t>
      </w:r>
    </w:p>
    <w:p w:rsidR="003C48BF" w:rsidRDefault="003C48BF">
      <w:pPr>
        <w:rPr>
          <w:sz w:val="20"/>
          <w:szCs w:val="20"/>
        </w:rPr>
      </w:pPr>
      <w:r w:rsidRPr="004E57AA">
        <w:rPr>
          <w:sz w:val="20"/>
          <w:szCs w:val="20"/>
        </w:rPr>
        <w:t xml:space="preserve">The Bank of America Merchant ID list is located on the Finance website, </w:t>
      </w:r>
      <w:hyperlink r:id="rId8" w:history="1">
        <w:r w:rsidRPr="004E57AA">
          <w:rPr>
            <w:rStyle w:val="Hyperlink"/>
            <w:sz w:val="20"/>
            <w:szCs w:val="20"/>
          </w:rPr>
          <w:t>http://www.uh.edu/finance/pages/GA_Bank_Recon.htm</w:t>
        </w:r>
      </w:hyperlink>
      <w:r w:rsidR="00174F18">
        <w:rPr>
          <w:sz w:val="20"/>
          <w:szCs w:val="20"/>
        </w:rPr>
        <w:t>.</w:t>
      </w:r>
    </w:p>
    <w:p w:rsidR="00C44D13" w:rsidRPr="004E57AA" w:rsidRDefault="00C44D13">
      <w:pPr>
        <w:rPr>
          <w:sz w:val="20"/>
          <w:szCs w:val="20"/>
        </w:rPr>
      </w:pPr>
    </w:p>
    <w:p w:rsidR="003C48BF" w:rsidRPr="00C44D13" w:rsidRDefault="003C48BF" w:rsidP="00C44D13">
      <w:pPr>
        <w:spacing w:after="0"/>
        <w:jc w:val="center"/>
        <w:rPr>
          <w:b/>
          <w:sz w:val="24"/>
          <w:szCs w:val="24"/>
        </w:rPr>
      </w:pPr>
      <w:r w:rsidRPr="00C44D13">
        <w:rPr>
          <w:b/>
          <w:sz w:val="24"/>
          <w:szCs w:val="24"/>
        </w:rPr>
        <w:t>Credit Card Deposit Journal Instructions</w:t>
      </w:r>
    </w:p>
    <w:p w:rsidR="00C44D13" w:rsidRDefault="00C44D13" w:rsidP="00C44D13">
      <w:pPr>
        <w:spacing w:after="0"/>
        <w:jc w:val="center"/>
        <w:rPr>
          <w:sz w:val="24"/>
          <w:szCs w:val="24"/>
        </w:rPr>
      </w:pPr>
    </w:p>
    <w:p w:rsidR="003C48BF" w:rsidRPr="004E57AA" w:rsidRDefault="00055984" w:rsidP="003C48BF">
      <w:pPr>
        <w:spacing w:after="0"/>
        <w:rPr>
          <w:sz w:val="20"/>
          <w:szCs w:val="20"/>
        </w:rPr>
      </w:pPr>
      <w:r>
        <w:rPr>
          <w:sz w:val="20"/>
          <w:szCs w:val="20"/>
        </w:rPr>
        <w:t>Credit card s</w:t>
      </w:r>
      <w:r w:rsidR="003C48BF" w:rsidRPr="004E57AA">
        <w:rPr>
          <w:sz w:val="20"/>
          <w:szCs w:val="20"/>
        </w:rPr>
        <w:t>ales occurring on or after 9/1/2015 will be recorded as follows:</w:t>
      </w:r>
    </w:p>
    <w:p w:rsidR="003C48BF" w:rsidRPr="004E57AA" w:rsidRDefault="003C48BF" w:rsidP="003C48B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4E57AA">
        <w:rPr>
          <w:sz w:val="20"/>
          <w:szCs w:val="20"/>
        </w:rPr>
        <w:t xml:space="preserve">One credit card bank line for each batch </w:t>
      </w:r>
      <w:r w:rsidR="00DA7B0F" w:rsidRPr="004E57AA">
        <w:rPr>
          <w:sz w:val="20"/>
          <w:szCs w:val="20"/>
        </w:rPr>
        <w:t>settlement (</w:t>
      </w:r>
      <w:r w:rsidRPr="004E57AA">
        <w:rPr>
          <w:sz w:val="20"/>
          <w:szCs w:val="20"/>
        </w:rPr>
        <w:t>POS machines) or each day’s sale</w:t>
      </w:r>
      <w:r w:rsidR="00BF1B44">
        <w:rPr>
          <w:sz w:val="20"/>
          <w:szCs w:val="20"/>
        </w:rPr>
        <w:t>s</w:t>
      </w:r>
      <w:r w:rsidRPr="004E57AA">
        <w:rPr>
          <w:sz w:val="20"/>
          <w:szCs w:val="20"/>
        </w:rPr>
        <w:t xml:space="preserve"> report (Web Interface with automatic settlement)</w:t>
      </w:r>
      <w:r w:rsidR="00BF1B44">
        <w:rPr>
          <w:sz w:val="20"/>
          <w:szCs w:val="20"/>
        </w:rPr>
        <w:t>.</w:t>
      </w:r>
    </w:p>
    <w:p w:rsidR="003C48BF" w:rsidRPr="004E57AA" w:rsidRDefault="003C48BF" w:rsidP="003C48B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4E57AA">
        <w:rPr>
          <w:sz w:val="20"/>
          <w:szCs w:val="20"/>
        </w:rPr>
        <w:t>Credit card bank lines will not be separated by card type; the same line will be used for all cards transmitted in the same batch</w:t>
      </w:r>
      <w:r w:rsidR="00BF1B44">
        <w:rPr>
          <w:sz w:val="20"/>
          <w:szCs w:val="20"/>
        </w:rPr>
        <w:t>.</w:t>
      </w:r>
    </w:p>
    <w:p w:rsidR="003C48BF" w:rsidRPr="004E57AA" w:rsidRDefault="007C6759" w:rsidP="003C48B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4E57AA">
        <w:rPr>
          <w:sz w:val="20"/>
          <w:szCs w:val="20"/>
        </w:rPr>
        <w:t xml:space="preserve">Credit card bank line description </w:t>
      </w:r>
      <w:r w:rsidR="003C48BF" w:rsidRPr="004E57AA">
        <w:rPr>
          <w:sz w:val="20"/>
          <w:szCs w:val="20"/>
        </w:rPr>
        <w:t xml:space="preserve">will </w:t>
      </w:r>
      <w:r w:rsidRPr="004E57AA">
        <w:rPr>
          <w:sz w:val="20"/>
          <w:szCs w:val="20"/>
        </w:rPr>
        <w:t>list all</w:t>
      </w:r>
      <w:r w:rsidR="003C48BF" w:rsidRPr="004E57AA">
        <w:rPr>
          <w:sz w:val="20"/>
          <w:szCs w:val="20"/>
        </w:rPr>
        <w:t xml:space="preserve"> twelve digits of the Bank of </w:t>
      </w:r>
      <w:r w:rsidRPr="004E57AA">
        <w:rPr>
          <w:sz w:val="20"/>
          <w:szCs w:val="20"/>
        </w:rPr>
        <w:t>America</w:t>
      </w:r>
      <w:r w:rsidR="00BF1B44">
        <w:rPr>
          <w:sz w:val="20"/>
          <w:szCs w:val="20"/>
        </w:rPr>
        <w:t xml:space="preserve"> Merchant ID</w:t>
      </w:r>
      <w:r w:rsidRPr="004E57AA">
        <w:rPr>
          <w:sz w:val="20"/>
          <w:szCs w:val="20"/>
        </w:rPr>
        <w:t xml:space="preserve"> and the date of the batch settlement in the f</w:t>
      </w:r>
      <w:r w:rsidR="00BF1B44">
        <w:rPr>
          <w:sz w:val="20"/>
          <w:szCs w:val="20"/>
        </w:rPr>
        <w:t>ollowing format: 345732159999 09</w:t>
      </w:r>
      <w:r w:rsidRPr="004E57AA">
        <w:rPr>
          <w:sz w:val="20"/>
          <w:szCs w:val="20"/>
        </w:rPr>
        <w:t>/01/2015</w:t>
      </w:r>
      <w:r w:rsidR="00BF1B44">
        <w:rPr>
          <w:sz w:val="20"/>
          <w:szCs w:val="20"/>
        </w:rPr>
        <w:t>.</w:t>
      </w:r>
    </w:p>
    <w:p w:rsidR="007C6759" w:rsidRPr="004E57AA" w:rsidRDefault="007C6759" w:rsidP="003C48B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4E57AA">
        <w:rPr>
          <w:sz w:val="20"/>
          <w:szCs w:val="20"/>
        </w:rPr>
        <w:t>Credit card transactions are recorded to the 10512 bank.</w:t>
      </w:r>
    </w:p>
    <w:p w:rsidR="007C6759" w:rsidRPr="004E57AA" w:rsidRDefault="007C6759" w:rsidP="003C48B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4E57AA">
        <w:rPr>
          <w:sz w:val="20"/>
          <w:szCs w:val="20"/>
        </w:rPr>
        <w:t xml:space="preserve">Documentation required for credit card deposit journals is the daily settlement or sales report. </w:t>
      </w:r>
    </w:p>
    <w:p w:rsidR="003C48BF" w:rsidRDefault="003C48BF" w:rsidP="003C48BF">
      <w:pPr>
        <w:spacing w:after="100" w:afterAutospacing="1"/>
      </w:pPr>
    </w:p>
    <w:p w:rsidR="00946466" w:rsidRDefault="00946466">
      <w:r>
        <w:br w:type="page"/>
      </w:r>
    </w:p>
    <w:p w:rsidR="00946466" w:rsidRDefault="00946466" w:rsidP="00C44D1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</w:rPr>
      </w:pPr>
      <w:bookmarkStart w:id="1" w:name="SampleOne"/>
      <w:r w:rsidRPr="00AB3066">
        <w:rPr>
          <w:rFonts w:eastAsia="Times New Roman" w:cs="Times New Roman"/>
          <w:b/>
          <w:color w:val="000000"/>
          <w:sz w:val="24"/>
          <w:szCs w:val="24"/>
        </w:rPr>
        <w:lastRenderedPageBreak/>
        <w:t>Sample Journal Entry - Record One Credit Card Batch</w:t>
      </w:r>
    </w:p>
    <w:p w:rsidR="00C44D13" w:rsidRPr="00AB3066" w:rsidRDefault="00C44D13" w:rsidP="00C44D1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bookmarkEnd w:id="1"/>
    <w:p w:rsidR="00946466" w:rsidRPr="00C44D13" w:rsidRDefault="00946466" w:rsidP="0094646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C44D13">
        <w:rPr>
          <w:rFonts w:eastAsia="Times New Roman" w:cs="Times New Roman"/>
          <w:color w:val="000000"/>
          <w:sz w:val="20"/>
          <w:szCs w:val="20"/>
        </w:rPr>
        <w:t xml:space="preserve">If you are recording one batch (one printout from your swipe machine or one days’ sales from a web-interface with automatic settlement), you would record one journal line for all sales.  </w:t>
      </w:r>
    </w:p>
    <w:p w:rsidR="00946466" w:rsidRPr="00C44D13" w:rsidRDefault="00946466" w:rsidP="00946466">
      <w:pPr>
        <w:spacing w:after="0" w:line="240" w:lineRule="auto"/>
        <w:jc w:val="both"/>
        <w:rPr>
          <w:rFonts w:eastAsia="Calibri" w:cs="Times New Roman"/>
          <w:sz w:val="20"/>
          <w:szCs w:val="20"/>
        </w:rPr>
      </w:pPr>
    </w:p>
    <w:p w:rsidR="00946466" w:rsidRPr="00C44D13" w:rsidRDefault="00946466" w:rsidP="00946466">
      <w:p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C44D13">
        <w:rPr>
          <w:rFonts w:eastAsia="Calibri" w:cs="Times New Roman"/>
          <w:sz w:val="20"/>
          <w:szCs w:val="20"/>
        </w:rPr>
        <w:t>If you</w:t>
      </w:r>
      <w:r w:rsidR="008B76C9" w:rsidRPr="00C44D13">
        <w:rPr>
          <w:rFonts w:eastAsia="Calibri" w:cs="Times New Roman"/>
          <w:sz w:val="20"/>
          <w:szCs w:val="20"/>
        </w:rPr>
        <w:t>r department’s</w:t>
      </w:r>
      <w:r w:rsidRPr="00C44D13">
        <w:rPr>
          <w:rFonts w:eastAsia="Calibri" w:cs="Times New Roman"/>
          <w:sz w:val="20"/>
          <w:szCs w:val="20"/>
        </w:rPr>
        <w:t xml:space="preserve"> batch report showed the following ($616 Visa, $7 Amex, $440 MasterCard, $11 Discover, totaling </w:t>
      </w:r>
      <w:r w:rsidR="00C44D13" w:rsidRPr="00C44D13">
        <w:rPr>
          <w:rFonts w:eastAsia="Calibri" w:cs="Times New Roman"/>
          <w:sz w:val="20"/>
          <w:szCs w:val="20"/>
        </w:rPr>
        <w:t>$1,074):</w:t>
      </w:r>
    </w:p>
    <w:p w:rsidR="008B76C9" w:rsidRPr="00C44D13" w:rsidRDefault="008B76C9" w:rsidP="00946466">
      <w:pPr>
        <w:spacing w:after="0" w:line="240" w:lineRule="auto"/>
        <w:jc w:val="both"/>
        <w:rPr>
          <w:rFonts w:eastAsia="Calibri" w:cs="Times New Roman"/>
          <w:sz w:val="20"/>
          <w:szCs w:val="20"/>
        </w:rPr>
      </w:pPr>
    </w:p>
    <w:p w:rsidR="00946466" w:rsidRDefault="00946466" w:rsidP="00946466">
      <w:r w:rsidRPr="00AB3066">
        <w:rPr>
          <w:noProof/>
        </w:rPr>
        <w:drawing>
          <wp:inline distT="0" distB="0" distL="0" distR="0" wp14:anchorId="503395AF" wp14:editId="660231DD">
            <wp:extent cx="2946400" cy="1751301"/>
            <wp:effectExtent l="0" t="0" r="635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931" cy="175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066">
        <w:rPr>
          <w:noProof/>
        </w:rPr>
        <w:drawing>
          <wp:inline distT="0" distB="0" distL="0" distR="0" wp14:anchorId="0E2F3CEC" wp14:editId="4540D7E4">
            <wp:extent cx="2298700" cy="1746249"/>
            <wp:effectExtent l="0" t="0" r="635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791" cy="175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6C9" w:rsidRPr="00C44D13" w:rsidRDefault="008B76C9" w:rsidP="008B76C9">
      <w:p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C44D13">
        <w:rPr>
          <w:rFonts w:eastAsia="Calibri" w:cs="Times New Roman"/>
          <w:sz w:val="20"/>
          <w:szCs w:val="20"/>
        </w:rPr>
        <w:t>The twelve digit Bank of America Merchant ID number is 345799999999, your journal would look like this:</w:t>
      </w:r>
    </w:p>
    <w:p w:rsidR="008B76C9" w:rsidRDefault="008B76C9" w:rsidP="00946466">
      <w:r w:rsidRPr="00AB3066">
        <w:rPr>
          <w:noProof/>
        </w:rPr>
        <w:drawing>
          <wp:inline distT="0" distB="0" distL="0" distR="0" wp14:anchorId="4E5AD405" wp14:editId="0D849C93">
            <wp:extent cx="5943600" cy="1276350"/>
            <wp:effectExtent l="57150" t="57150" r="114300" b="11430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6350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B76C9" w:rsidRDefault="008B76C9">
      <w:r>
        <w:br w:type="page"/>
      </w:r>
    </w:p>
    <w:p w:rsidR="008B76C9" w:rsidRDefault="008B76C9" w:rsidP="00C44D13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bookmarkStart w:id="2" w:name="SampleMulti"/>
      <w:r w:rsidRPr="00AB3066">
        <w:rPr>
          <w:rFonts w:eastAsia="Calibri" w:cs="Times New Roman"/>
          <w:b/>
          <w:sz w:val="24"/>
          <w:szCs w:val="24"/>
        </w:rPr>
        <w:lastRenderedPageBreak/>
        <w:t>Sample Journal Entry – Record Multiple Credit Card Batches</w:t>
      </w:r>
      <w:bookmarkEnd w:id="2"/>
    </w:p>
    <w:p w:rsidR="00C44D13" w:rsidRPr="00AB3066" w:rsidRDefault="00C44D13" w:rsidP="00C44D13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8B76C9" w:rsidRPr="00C44D13" w:rsidRDefault="00C44D13" w:rsidP="008B76C9">
      <w:p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C44D13">
        <w:rPr>
          <w:rFonts w:eastAsia="Calibri" w:cs="Times New Roman"/>
          <w:sz w:val="20"/>
          <w:szCs w:val="20"/>
        </w:rPr>
        <w:t>I</w:t>
      </w:r>
      <w:r w:rsidR="008B76C9" w:rsidRPr="00C44D13">
        <w:rPr>
          <w:rFonts w:eastAsia="Calibri" w:cs="Times New Roman"/>
          <w:sz w:val="20"/>
          <w:szCs w:val="20"/>
        </w:rPr>
        <w:t>f you are recording multiple batch</w:t>
      </w:r>
      <w:r w:rsidR="00DA7B0F">
        <w:rPr>
          <w:rFonts w:eastAsia="Calibri" w:cs="Times New Roman"/>
          <w:sz w:val="20"/>
          <w:szCs w:val="20"/>
        </w:rPr>
        <w:t xml:space="preserve"> reports</w:t>
      </w:r>
      <w:r w:rsidR="008B76C9" w:rsidRPr="00C44D13">
        <w:rPr>
          <w:rFonts w:eastAsia="Calibri" w:cs="Times New Roman"/>
          <w:sz w:val="20"/>
          <w:szCs w:val="20"/>
        </w:rPr>
        <w:t xml:space="preserve"> (printouts from multiple swipe machines that share the same merchant ID, or more than one day’s sales reports from a web-interface with automatic settlement over the weekend), you will record one journal line for each batch:</w:t>
      </w:r>
    </w:p>
    <w:p w:rsidR="008B76C9" w:rsidRPr="00C44D13" w:rsidRDefault="008B76C9" w:rsidP="008B76C9">
      <w:pPr>
        <w:spacing w:after="0" w:line="240" w:lineRule="auto"/>
        <w:jc w:val="both"/>
        <w:rPr>
          <w:rFonts w:eastAsia="Calibri" w:cs="Times New Roman"/>
          <w:sz w:val="20"/>
          <w:szCs w:val="20"/>
        </w:rPr>
      </w:pPr>
    </w:p>
    <w:p w:rsidR="008B76C9" w:rsidRPr="00C44D13" w:rsidRDefault="008B76C9" w:rsidP="008B76C9">
      <w:p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C44D13">
        <w:rPr>
          <w:rFonts w:eastAsia="Calibri" w:cs="Times New Roman"/>
          <w:sz w:val="20"/>
          <w:szCs w:val="20"/>
        </w:rPr>
        <w:t>If you have two batch reports with the following sales – Batch 1 ($616 Visa, $7 Amex, $440 MasterCard, $11 Discover, totaling $1,074), and Batch 2 ($96 Visa, $782 Amex, $23 MasterCard, totaling $901):</w:t>
      </w:r>
    </w:p>
    <w:p w:rsidR="004E57AA" w:rsidRPr="00AB3066" w:rsidRDefault="004E57AA" w:rsidP="008B76C9">
      <w:pPr>
        <w:spacing w:after="0" w:line="240" w:lineRule="auto"/>
        <w:jc w:val="both"/>
        <w:rPr>
          <w:rFonts w:eastAsia="Calibri" w:cs="Times New Roman"/>
          <w:sz w:val="16"/>
          <w:szCs w:val="16"/>
        </w:rPr>
      </w:pPr>
    </w:p>
    <w:p w:rsidR="001F4137" w:rsidRDefault="004E57AA" w:rsidP="00946466">
      <w:r>
        <w:rPr>
          <w:noProof/>
        </w:rPr>
        <w:drawing>
          <wp:inline distT="0" distB="0" distL="0" distR="0" wp14:anchorId="6A78C933" wp14:editId="5AAD42AC">
            <wp:extent cx="5943600" cy="2113280"/>
            <wp:effectExtent l="38100" t="38100" r="95250" b="965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13280"/>
                    </a:xfrm>
                    <a:prstGeom prst="rect">
                      <a:avLst/>
                    </a:prstGeom>
                    <a:ln w="127000" cap="sq">
                      <a:noFill/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F4137" w:rsidRDefault="001F4137" w:rsidP="004E57AA">
      <w:pPr>
        <w:tabs>
          <w:tab w:val="left" w:pos="3650"/>
          <w:tab w:val="center" w:pos="4680"/>
        </w:tabs>
        <w:jc w:val="both"/>
      </w:pPr>
      <w:r>
        <w:tab/>
      </w:r>
      <w:r w:rsidR="004E57AA">
        <w:rPr>
          <w:noProof/>
        </w:rPr>
        <w:drawing>
          <wp:inline distT="0" distB="0" distL="0" distR="0" wp14:anchorId="781992FF" wp14:editId="082946E9">
            <wp:extent cx="5949950" cy="20002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72105" cy="200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7AA" w:rsidRPr="00C44D13" w:rsidRDefault="004E57AA" w:rsidP="004E57AA">
      <w:p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C44D13">
        <w:rPr>
          <w:rFonts w:eastAsia="Calibri" w:cs="Times New Roman"/>
          <w:sz w:val="20"/>
          <w:szCs w:val="20"/>
        </w:rPr>
        <w:t>And the twelve digits of your Bank of America MasterCard/Visa Merchant ID number is 345799999999, your journal would look like this:</w:t>
      </w:r>
    </w:p>
    <w:p w:rsidR="008B76C9" w:rsidRPr="001F4137" w:rsidRDefault="004E57AA" w:rsidP="001F4137">
      <w:pPr>
        <w:tabs>
          <w:tab w:val="left" w:pos="3520"/>
        </w:tabs>
      </w:pPr>
      <w:r w:rsidRPr="00AB3066">
        <w:rPr>
          <w:noProof/>
        </w:rPr>
        <w:drawing>
          <wp:inline distT="0" distB="0" distL="0" distR="0" wp14:anchorId="6FF06F20" wp14:editId="75E414B6">
            <wp:extent cx="5943600" cy="1148080"/>
            <wp:effectExtent l="57150" t="57150" r="114300" b="10922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8080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1F4137">
        <w:tab/>
      </w:r>
    </w:p>
    <w:sectPr w:rsidR="008B76C9" w:rsidRPr="001F4137" w:rsidSect="00C44D13">
      <w:footerReference w:type="default" r:id="rId15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7AA" w:rsidRDefault="004E57AA" w:rsidP="004E57AA">
      <w:pPr>
        <w:spacing w:after="0" w:line="240" w:lineRule="auto"/>
      </w:pPr>
      <w:r>
        <w:separator/>
      </w:r>
    </w:p>
  </w:endnote>
  <w:endnote w:type="continuationSeparator" w:id="0">
    <w:p w:rsidR="004E57AA" w:rsidRDefault="004E57AA" w:rsidP="004E5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8532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57AA" w:rsidRDefault="004E57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14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E57AA" w:rsidRDefault="004E57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7AA" w:rsidRDefault="004E57AA" w:rsidP="004E57AA">
      <w:pPr>
        <w:spacing w:after="0" w:line="240" w:lineRule="auto"/>
      </w:pPr>
      <w:r>
        <w:separator/>
      </w:r>
    </w:p>
  </w:footnote>
  <w:footnote w:type="continuationSeparator" w:id="0">
    <w:p w:rsidR="004E57AA" w:rsidRDefault="004E57AA" w:rsidP="004E5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016E0"/>
    <w:multiLevelType w:val="hybridMultilevel"/>
    <w:tmpl w:val="68FCF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E93"/>
    <w:rsid w:val="00055984"/>
    <w:rsid w:val="000E2E03"/>
    <w:rsid w:val="000E39D2"/>
    <w:rsid w:val="00174F18"/>
    <w:rsid w:val="00193494"/>
    <w:rsid w:val="001F4137"/>
    <w:rsid w:val="003C48BF"/>
    <w:rsid w:val="004E57AA"/>
    <w:rsid w:val="00733E93"/>
    <w:rsid w:val="007C6759"/>
    <w:rsid w:val="00890F6E"/>
    <w:rsid w:val="008B76C9"/>
    <w:rsid w:val="00946466"/>
    <w:rsid w:val="00BF1B44"/>
    <w:rsid w:val="00C44D13"/>
    <w:rsid w:val="00C85BBA"/>
    <w:rsid w:val="00CB1476"/>
    <w:rsid w:val="00D33EF6"/>
    <w:rsid w:val="00DA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48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48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4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5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7AA"/>
  </w:style>
  <w:style w:type="paragraph" w:styleId="Footer">
    <w:name w:val="footer"/>
    <w:basedOn w:val="Normal"/>
    <w:link w:val="FooterChar"/>
    <w:uiPriority w:val="99"/>
    <w:unhideWhenUsed/>
    <w:rsid w:val="004E5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48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48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4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5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7AA"/>
  </w:style>
  <w:style w:type="paragraph" w:styleId="Footer">
    <w:name w:val="footer"/>
    <w:basedOn w:val="Normal"/>
    <w:link w:val="FooterChar"/>
    <w:uiPriority w:val="99"/>
    <w:unhideWhenUsed/>
    <w:rsid w:val="004E5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h.edu/finance/pages/GA_Bank_Recon.htm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McClain, Gretta R</dc:creator>
  <cp:lastModifiedBy>McClain, Gretta R</cp:lastModifiedBy>
  <cp:revision>15</cp:revision>
  <cp:lastPrinted>2015-08-12T18:55:00Z</cp:lastPrinted>
  <dcterms:created xsi:type="dcterms:W3CDTF">2015-08-12T17:24:00Z</dcterms:created>
  <dcterms:modified xsi:type="dcterms:W3CDTF">2015-08-12T19:52:00Z</dcterms:modified>
</cp:coreProperties>
</file>