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635"/>
        <w:gridCol w:w="9450"/>
      </w:tblGrid>
      <w:tr w:rsidR="002B0A1E" w:rsidRPr="005B75DC" w:rsidTr="00B91F27">
        <w:tc>
          <w:tcPr>
            <w:tcW w:w="1635" w:type="dxa"/>
          </w:tcPr>
          <w:p w:rsidR="002B0A1E" w:rsidRPr="005B75DC" w:rsidRDefault="002B0A1E">
            <w:pPr>
              <w:pStyle w:val="Heading2"/>
              <w:rPr>
                <w:rFonts w:ascii="Calibri" w:hAnsi="Calibri"/>
                <w:i w:val="0"/>
                <w:sz w:val="24"/>
                <w:szCs w:val="24"/>
              </w:rPr>
            </w:pPr>
            <w:r w:rsidRPr="005B75DC">
              <w:rPr>
                <w:rFonts w:ascii="Calibri" w:hAnsi="Calibri"/>
                <w:i w:val="0"/>
                <w:sz w:val="24"/>
                <w:szCs w:val="24"/>
              </w:rPr>
              <w:t>DESCRIPTION</w:t>
            </w:r>
          </w:p>
        </w:tc>
        <w:tc>
          <w:tcPr>
            <w:tcW w:w="9450" w:type="dxa"/>
          </w:tcPr>
          <w:p w:rsidR="002B0A1E" w:rsidRPr="005B75DC" w:rsidRDefault="002B0A1E">
            <w:pPr>
              <w:pStyle w:val="Heading4"/>
              <w:rPr>
                <w:bCs w:val="0"/>
                <w:sz w:val="24"/>
                <w:szCs w:val="24"/>
              </w:rPr>
            </w:pPr>
            <w:r w:rsidRPr="005B75DC">
              <w:rPr>
                <w:bCs w:val="0"/>
                <w:sz w:val="24"/>
                <w:szCs w:val="24"/>
              </w:rPr>
              <w:t>Creating a 998 Journal Entry</w:t>
            </w:r>
          </w:p>
        </w:tc>
      </w:tr>
      <w:tr w:rsidR="00DE54C1" w:rsidRPr="005B75DC" w:rsidTr="00B91F27">
        <w:tc>
          <w:tcPr>
            <w:tcW w:w="1635" w:type="dxa"/>
          </w:tcPr>
          <w:p w:rsidR="00DE54C1" w:rsidRPr="005B75DC" w:rsidRDefault="00DE54C1">
            <w:pPr>
              <w:pStyle w:val="Heading6"/>
              <w:rPr>
                <w:bCs w:val="0"/>
                <w:sz w:val="24"/>
                <w:szCs w:val="24"/>
              </w:rPr>
            </w:pPr>
            <w:r w:rsidRPr="005B75DC">
              <w:rPr>
                <w:bCs w:val="0"/>
                <w:sz w:val="24"/>
                <w:szCs w:val="24"/>
              </w:rPr>
              <w:t>NAVIGATION PATH</w:t>
            </w:r>
          </w:p>
        </w:tc>
        <w:tc>
          <w:tcPr>
            <w:tcW w:w="9450" w:type="dxa"/>
          </w:tcPr>
          <w:p w:rsidR="00DE54C1" w:rsidRPr="005B75DC" w:rsidRDefault="00DE54C1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rPr>
                <w:b/>
                <w:sz w:val="24"/>
              </w:rPr>
            </w:pPr>
            <w:r w:rsidRPr="005B75DC">
              <w:rPr>
                <w:b/>
                <w:sz w:val="24"/>
              </w:rPr>
              <w:t>General Ledger</w:t>
            </w:r>
            <w:r w:rsidR="00BE04B2" w:rsidRPr="005B75DC">
              <w:rPr>
                <w:b/>
                <w:sz w:val="24"/>
              </w:rPr>
              <w:t>,</w:t>
            </w:r>
            <w:r w:rsidRPr="005B75DC">
              <w:rPr>
                <w:b/>
                <w:sz w:val="24"/>
              </w:rPr>
              <w:t xml:space="preserve"> Journals, Journal Entry, Create Journal Entries</w:t>
            </w:r>
          </w:p>
          <w:p w:rsidR="00BE04B2" w:rsidRPr="005B75DC" w:rsidRDefault="00BE04B2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rPr>
                <w:b/>
                <w:sz w:val="20"/>
              </w:rPr>
            </w:pPr>
          </w:p>
          <w:p w:rsidR="00DE54C1" w:rsidRPr="005B75DC" w:rsidRDefault="00C84FAE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27C89E" wp14:editId="3751B1A6">
                  <wp:extent cx="5877560" cy="227330"/>
                  <wp:effectExtent l="0" t="0" r="889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756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54C1" w:rsidRPr="005B75DC">
              <w:rPr>
                <w:sz w:val="20"/>
              </w:rPr>
              <w:t xml:space="preserve"> </w:t>
            </w:r>
          </w:p>
          <w:p w:rsidR="00BE04B2" w:rsidRPr="005B75DC" w:rsidRDefault="00BE04B2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rPr>
                <w:sz w:val="20"/>
              </w:rPr>
            </w:pPr>
          </w:p>
        </w:tc>
      </w:tr>
      <w:tr w:rsidR="00DE54C1" w:rsidRPr="005B75DC" w:rsidTr="008A6AD2">
        <w:trPr>
          <w:trHeight w:val="8315"/>
        </w:trPr>
        <w:tc>
          <w:tcPr>
            <w:tcW w:w="1635" w:type="dxa"/>
          </w:tcPr>
          <w:p w:rsidR="00DE54C1" w:rsidRPr="005B75DC" w:rsidRDefault="00DE54C1">
            <w:pPr>
              <w:rPr>
                <w:b/>
              </w:rPr>
            </w:pPr>
            <w:r w:rsidRPr="005B75DC">
              <w:rPr>
                <w:b/>
              </w:rPr>
              <w:t>STEP 1</w:t>
            </w:r>
          </w:p>
        </w:tc>
        <w:tc>
          <w:tcPr>
            <w:tcW w:w="9450" w:type="dxa"/>
          </w:tcPr>
          <w:p w:rsidR="002B0A1E" w:rsidRPr="005B75DC" w:rsidRDefault="002B0A1E">
            <w:pPr>
              <w:rPr>
                <w:b/>
                <w:bCs/>
              </w:rPr>
            </w:pPr>
            <w:r w:rsidRPr="005B75DC">
              <w:rPr>
                <w:b/>
                <w:bCs/>
              </w:rPr>
              <w:t>After completing the navigation listed above you will be</w:t>
            </w:r>
            <w:r w:rsidR="00914D9A" w:rsidRPr="005B75DC">
              <w:rPr>
                <w:b/>
                <w:bCs/>
              </w:rPr>
              <w:t xml:space="preserve"> at</w:t>
            </w:r>
            <w:r w:rsidRPr="005B75DC">
              <w:rPr>
                <w:b/>
                <w:bCs/>
              </w:rPr>
              <w:t xml:space="preserve"> the Journal Entry </w:t>
            </w:r>
            <w:r w:rsidR="008306B7" w:rsidRPr="005B75DC">
              <w:rPr>
                <w:b/>
                <w:bCs/>
              </w:rPr>
              <w:t>Screen.</w:t>
            </w:r>
          </w:p>
          <w:p w:rsidR="004479BD" w:rsidRDefault="002B0A1E">
            <w:pPr>
              <w:rPr>
                <w:b/>
                <w:bCs/>
              </w:rPr>
            </w:pPr>
            <w:r w:rsidRPr="005B75DC">
              <w:rPr>
                <w:b/>
                <w:bCs/>
              </w:rPr>
              <w:t xml:space="preserve"> </w:t>
            </w:r>
          </w:p>
          <w:p w:rsidR="005048D9" w:rsidRPr="005B75DC" w:rsidRDefault="004479BD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E54C1" w:rsidRPr="005B75DC">
              <w:rPr>
                <w:b/>
                <w:bCs/>
              </w:rPr>
              <w:t>he Busine</w:t>
            </w:r>
            <w:r w:rsidR="00C84FAE">
              <w:rPr>
                <w:b/>
                <w:bCs/>
              </w:rPr>
              <w:t>ss Unit defaults based on the P</w:t>
            </w:r>
            <w:r w:rsidR="00DE54C1" w:rsidRPr="005B75DC">
              <w:rPr>
                <w:b/>
                <w:bCs/>
              </w:rPr>
              <w:t>eri</w:t>
            </w:r>
            <w:r w:rsidR="00C84FAE">
              <w:rPr>
                <w:b/>
                <w:bCs/>
              </w:rPr>
              <w:t>o</w:t>
            </w:r>
            <w:bookmarkStart w:id="0" w:name="_GoBack"/>
            <w:bookmarkEnd w:id="0"/>
            <w:r w:rsidR="00DE54C1" w:rsidRPr="005B75DC">
              <w:rPr>
                <w:b/>
                <w:bCs/>
              </w:rPr>
              <w:t xml:space="preserve">d Business Unit (ex. 00730), the Journal ID defaults to NEXT which assigns the next available journal </w:t>
            </w:r>
            <w:r w:rsidR="007F7CF4" w:rsidRPr="005B75DC">
              <w:rPr>
                <w:b/>
                <w:bCs/>
              </w:rPr>
              <w:t>number</w:t>
            </w:r>
            <w:r w:rsidR="00DE54C1" w:rsidRPr="005B75DC">
              <w:rPr>
                <w:b/>
                <w:bCs/>
              </w:rPr>
              <w:t xml:space="preserve">, </w:t>
            </w:r>
            <w:r w:rsidR="00DE54C1" w:rsidRPr="005B75DC">
              <w:rPr>
                <w:b/>
                <w:bCs/>
                <w:u w:val="single"/>
              </w:rPr>
              <w:t xml:space="preserve">the Journal Date </w:t>
            </w:r>
            <w:r w:rsidR="005048D9" w:rsidRPr="005B75DC">
              <w:rPr>
                <w:b/>
                <w:bCs/>
                <w:u w:val="single"/>
              </w:rPr>
              <w:t>for a</w:t>
            </w:r>
            <w:r w:rsidR="002B0A1E" w:rsidRPr="005B75DC">
              <w:rPr>
                <w:b/>
                <w:bCs/>
                <w:u w:val="single"/>
              </w:rPr>
              <w:t xml:space="preserve">ll </w:t>
            </w:r>
            <w:r w:rsidR="00E74F80" w:rsidRPr="005B75DC">
              <w:rPr>
                <w:b/>
                <w:bCs/>
                <w:u w:val="single"/>
              </w:rPr>
              <w:t>998 entries should be 08/31/</w:t>
            </w:r>
            <w:r w:rsidR="00450901">
              <w:rPr>
                <w:b/>
                <w:bCs/>
                <w:u w:val="single"/>
              </w:rPr>
              <w:t>YYYY, (last day of the fiscal year</w:t>
            </w:r>
            <w:r w:rsidR="00C66B54">
              <w:rPr>
                <w:b/>
                <w:bCs/>
                <w:u w:val="single"/>
              </w:rPr>
              <w:t>)</w:t>
            </w:r>
            <w:r w:rsidR="00DE54C1" w:rsidRPr="005B75DC">
              <w:rPr>
                <w:b/>
                <w:bCs/>
                <w:u w:val="single"/>
              </w:rPr>
              <w:t>.</w:t>
            </w:r>
          </w:p>
          <w:p w:rsidR="005048D9" w:rsidRPr="005B75DC" w:rsidRDefault="005048D9">
            <w:pPr>
              <w:rPr>
                <w:b/>
                <w:bCs/>
              </w:rPr>
            </w:pPr>
          </w:p>
          <w:p w:rsidR="005048D9" w:rsidRPr="005B75DC" w:rsidRDefault="005048D9">
            <w:pPr>
              <w:rPr>
                <w:bCs/>
                <w:i/>
              </w:rPr>
            </w:pPr>
            <w:r w:rsidRPr="005B75DC">
              <w:rPr>
                <w:bCs/>
                <w:i/>
              </w:rPr>
              <w:t>Note:  When correcting or reversing an existing journal</w:t>
            </w:r>
            <w:r w:rsidR="00AE31B8">
              <w:rPr>
                <w:bCs/>
                <w:i/>
              </w:rPr>
              <w:t xml:space="preserve">, delete NEXT in the Journal </w:t>
            </w:r>
            <w:r w:rsidR="00477D41">
              <w:rPr>
                <w:bCs/>
                <w:i/>
              </w:rPr>
              <w:t>ID field</w:t>
            </w:r>
            <w:r w:rsidR="00AE31B8">
              <w:rPr>
                <w:bCs/>
                <w:i/>
              </w:rPr>
              <w:t xml:space="preserve"> and </w:t>
            </w:r>
            <w:r w:rsidRPr="005B75DC">
              <w:rPr>
                <w:bCs/>
                <w:i/>
              </w:rPr>
              <w:t>enter the</w:t>
            </w:r>
            <w:r w:rsidR="00AE31B8">
              <w:rPr>
                <w:bCs/>
                <w:i/>
              </w:rPr>
              <w:t xml:space="preserve"> existing</w:t>
            </w:r>
            <w:r w:rsidRPr="005B75DC">
              <w:rPr>
                <w:bCs/>
                <w:i/>
              </w:rPr>
              <w:t xml:space="preserve"> journal </w:t>
            </w:r>
            <w:r w:rsidR="00AE31B8">
              <w:rPr>
                <w:bCs/>
                <w:i/>
              </w:rPr>
              <w:t>number in the Journal ID field</w:t>
            </w:r>
            <w:r w:rsidR="00BD43C7" w:rsidRPr="005B75DC">
              <w:rPr>
                <w:bCs/>
                <w:i/>
              </w:rPr>
              <w:t>.</w:t>
            </w:r>
          </w:p>
          <w:p w:rsidR="005048D9" w:rsidRPr="005B75DC" w:rsidRDefault="005048D9">
            <w:pPr>
              <w:rPr>
                <w:b/>
                <w:bCs/>
              </w:rPr>
            </w:pPr>
          </w:p>
          <w:p w:rsidR="00DE54C1" w:rsidRPr="005B75DC" w:rsidRDefault="004479BD">
            <w:pPr>
              <w:rPr>
                <w:b/>
                <w:bCs/>
              </w:rPr>
            </w:pPr>
            <w:r>
              <w:rPr>
                <w:b/>
                <w:bCs/>
              </w:rPr>
              <w:t>Select</w:t>
            </w:r>
            <w:r w:rsidR="00DE54C1" w:rsidRPr="005B75DC">
              <w:rPr>
                <w:b/>
                <w:bCs/>
              </w:rPr>
              <w:t xml:space="preserve"> the Add button.</w:t>
            </w:r>
          </w:p>
          <w:p w:rsidR="00DE54C1" w:rsidRDefault="005B78E4">
            <w:pPr>
              <w:rPr>
                <w:b/>
                <w:noProof/>
                <w:lang w:bidi="ar-SA"/>
              </w:rPr>
            </w:pPr>
            <w:r w:rsidRPr="003E5B29">
              <w:rPr>
                <w:noProof/>
                <w:lang w:bidi="ar-SA"/>
              </w:rPr>
              <w:drawing>
                <wp:inline distT="0" distB="0" distL="0" distR="0">
                  <wp:extent cx="3400425" cy="3019425"/>
                  <wp:effectExtent l="19050" t="19050" r="28575" b="285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019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43A19" w:rsidRPr="005B75DC" w:rsidRDefault="00543A19">
            <w:pPr>
              <w:rPr>
                <w:b/>
                <w:bCs/>
              </w:rPr>
            </w:pPr>
          </w:p>
          <w:p w:rsidR="00DE54C1" w:rsidRPr="005B75DC" w:rsidRDefault="00DE54C1">
            <w:pPr>
              <w:rPr>
                <w:b/>
                <w:bCs/>
              </w:rPr>
            </w:pPr>
          </w:p>
        </w:tc>
      </w:tr>
      <w:tr w:rsidR="00DE54C1" w:rsidRPr="005B75DC" w:rsidTr="00B91F27">
        <w:trPr>
          <w:trHeight w:val="7640"/>
        </w:trPr>
        <w:tc>
          <w:tcPr>
            <w:tcW w:w="1635" w:type="dxa"/>
            <w:tcBorders>
              <w:right w:val="single" w:sz="4" w:space="0" w:color="auto"/>
            </w:tcBorders>
          </w:tcPr>
          <w:p w:rsidR="00DE54C1" w:rsidRPr="005B75DC" w:rsidRDefault="00DE54C1">
            <w:pPr>
              <w:rPr>
                <w:b/>
              </w:rPr>
            </w:pPr>
            <w:r>
              <w:lastRenderedPageBreak/>
              <w:br w:type="page"/>
            </w:r>
            <w:r w:rsidRPr="005B75DC">
              <w:rPr>
                <w:b/>
              </w:rPr>
              <w:t>STEP 2</w:t>
            </w:r>
          </w:p>
          <w:p w:rsidR="00DE54C1" w:rsidRPr="005B75DC" w:rsidRDefault="00DE54C1">
            <w:pPr>
              <w:rPr>
                <w:b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3E" w:rsidRDefault="002B0A1E" w:rsidP="00F56C0F">
            <w:pPr>
              <w:rPr>
                <w:b/>
                <w:bCs/>
              </w:rPr>
            </w:pPr>
            <w:r w:rsidRPr="005B75DC">
              <w:rPr>
                <w:b/>
                <w:bCs/>
              </w:rPr>
              <w:t>On</w:t>
            </w:r>
            <w:r w:rsidR="00843895" w:rsidRPr="005B75DC">
              <w:rPr>
                <w:b/>
                <w:bCs/>
              </w:rPr>
              <w:t xml:space="preserve"> the Header </w:t>
            </w:r>
            <w:r w:rsidR="00BE04B2" w:rsidRPr="005B75DC">
              <w:rPr>
                <w:b/>
                <w:bCs/>
              </w:rPr>
              <w:t>screen</w:t>
            </w:r>
            <w:r w:rsidR="00843895" w:rsidRPr="005B75DC">
              <w:rPr>
                <w:b/>
                <w:bCs/>
              </w:rPr>
              <w:t xml:space="preserve">, enter </w:t>
            </w:r>
            <w:r w:rsidR="00BE04B2" w:rsidRPr="005B75DC">
              <w:rPr>
                <w:b/>
                <w:bCs/>
              </w:rPr>
              <w:t xml:space="preserve">the purpose of the journal </w:t>
            </w:r>
            <w:r w:rsidR="00843895" w:rsidRPr="005B75DC">
              <w:rPr>
                <w:b/>
                <w:bCs/>
              </w:rPr>
              <w:t>in the Long Description field</w:t>
            </w:r>
            <w:r w:rsidR="00BE04B2" w:rsidRPr="005B75DC">
              <w:rPr>
                <w:b/>
                <w:bCs/>
              </w:rPr>
              <w:t>,</w:t>
            </w:r>
            <w:r w:rsidR="00843895" w:rsidRPr="005B75DC">
              <w:rPr>
                <w:b/>
                <w:bCs/>
              </w:rPr>
              <w:t xml:space="preserve"> </w:t>
            </w:r>
            <w:r w:rsidR="005048D9" w:rsidRPr="005B75DC">
              <w:rPr>
                <w:b/>
                <w:bCs/>
              </w:rPr>
              <w:t xml:space="preserve">check the box </w:t>
            </w:r>
            <w:r w:rsidRPr="005B75DC">
              <w:rPr>
                <w:b/>
                <w:bCs/>
              </w:rPr>
              <w:t xml:space="preserve">for </w:t>
            </w:r>
            <w:r w:rsidR="00BE04B2" w:rsidRPr="005B75DC">
              <w:rPr>
                <w:b/>
                <w:bCs/>
              </w:rPr>
              <w:t xml:space="preserve">Adjusting </w:t>
            </w:r>
            <w:r w:rsidR="005048D9" w:rsidRPr="005B75DC">
              <w:rPr>
                <w:b/>
                <w:bCs/>
              </w:rPr>
              <w:t xml:space="preserve">Entry, and make sure </w:t>
            </w:r>
            <w:r w:rsidR="00F56C0F">
              <w:rPr>
                <w:b/>
                <w:bCs/>
              </w:rPr>
              <w:t xml:space="preserve">the </w:t>
            </w:r>
            <w:r w:rsidR="00BE04B2" w:rsidRPr="005B75DC">
              <w:rPr>
                <w:b/>
                <w:bCs/>
              </w:rPr>
              <w:t>P</w:t>
            </w:r>
            <w:r w:rsidR="005048D9" w:rsidRPr="005B75DC">
              <w:rPr>
                <w:b/>
                <w:bCs/>
              </w:rPr>
              <w:t>eriod</w:t>
            </w:r>
            <w:r w:rsidR="003D5DAE" w:rsidRPr="005B75DC">
              <w:rPr>
                <w:b/>
                <w:bCs/>
              </w:rPr>
              <w:t xml:space="preserve"> changed to </w:t>
            </w:r>
            <w:r w:rsidR="005048D9" w:rsidRPr="005B75DC">
              <w:rPr>
                <w:b/>
                <w:bCs/>
              </w:rPr>
              <w:t>998 in the Period field</w:t>
            </w:r>
            <w:r w:rsidR="00D97FDA" w:rsidRPr="005B75DC">
              <w:rPr>
                <w:b/>
                <w:bCs/>
              </w:rPr>
              <w:t>.</w:t>
            </w:r>
          </w:p>
          <w:p w:rsidR="00550B3E" w:rsidRDefault="00550B3E" w:rsidP="005C5D45">
            <w:pPr>
              <w:jc w:val="center"/>
              <w:rPr>
                <w:b/>
                <w:bCs/>
              </w:rPr>
            </w:pPr>
          </w:p>
          <w:p w:rsidR="00BD43C7" w:rsidRDefault="00D97FDA" w:rsidP="005C5D45">
            <w:pPr>
              <w:jc w:val="center"/>
              <w:rPr>
                <w:bCs/>
                <w:i/>
              </w:rPr>
            </w:pPr>
            <w:r w:rsidRPr="0053222F">
              <w:rPr>
                <w:b/>
                <w:bCs/>
                <w:i/>
                <w:highlight w:val="yellow"/>
                <w:u w:val="single"/>
              </w:rPr>
              <w:t>DO NOT</w:t>
            </w:r>
            <w:r w:rsidRPr="0053222F">
              <w:rPr>
                <w:b/>
                <w:bCs/>
                <w:i/>
                <w:highlight w:val="yellow"/>
              </w:rPr>
              <w:t xml:space="preserve"> change the ADB Date on this </w:t>
            </w:r>
            <w:r w:rsidR="00BE04B2" w:rsidRPr="0053222F">
              <w:rPr>
                <w:b/>
                <w:bCs/>
                <w:i/>
                <w:highlight w:val="yellow"/>
              </w:rPr>
              <w:t>screen</w:t>
            </w:r>
            <w:r w:rsidRPr="0053222F">
              <w:rPr>
                <w:b/>
                <w:bCs/>
                <w:i/>
                <w:highlight w:val="yellow"/>
              </w:rPr>
              <w:t xml:space="preserve">.  </w:t>
            </w:r>
            <w:r w:rsidRPr="0053222F">
              <w:rPr>
                <w:bCs/>
                <w:i/>
                <w:highlight w:val="yellow"/>
              </w:rPr>
              <w:t xml:space="preserve">The ADB Date will automatically </w:t>
            </w:r>
            <w:r w:rsidR="00BE04B2" w:rsidRPr="0053222F">
              <w:rPr>
                <w:bCs/>
                <w:i/>
                <w:highlight w:val="yellow"/>
              </w:rPr>
              <w:t>default; changing the ADB date will not change the accounting period to period 998.</w:t>
            </w:r>
          </w:p>
          <w:p w:rsidR="005C5D45" w:rsidRDefault="005C5D45" w:rsidP="005C5D45">
            <w:pPr>
              <w:jc w:val="center"/>
              <w:rPr>
                <w:bCs/>
                <w:i/>
              </w:rPr>
            </w:pPr>
          </w:p>
          <w:p w:rsidR="00DE54C1" w:rsidRPr="005B75DC" w:rsidRDefault="005B78E4" w:rsidP="005C5D45">
            <w:pPr>
              <w:jc w:val="center"/>
            </w:pPr>
            <w:r w:rsidRPr="003E5B29">
              <w:rPr>
                <w:noProof/>
                <w:lang w:bidi="ar-SA"/>
              </w:rPr>
              <w:drawing>
                <wp:inline distT="0" distB="0" distL="0" distR="0">
                  <wp:extent cx="5419725" cy="3076575"/>
                  <wp:effectExtent l="19050" t="19050" r="28575" b="2857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30765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E84" w:rsidRPr="005B75DC" w:rsidTr="00B91F27">
        <w:tc>
          <w:tcPr>
            <w:tcW w:w="1635" w:type="dxa"/>
          </w:tcPr>
          <w:p w:rsidR="00101E84" w:rsidRPr="005B75DC" w:rsidRDefault="00101E84">
            <w:pPr>
              <w:rPr>
                <w:b/>
              </w:rPr>
            </w:pPr>
            <w:r w:rsidRPr="005B75DC">
              <w:rPr>
                <w:b/>
              </w:rPr>
              <w:t>Step 3</w:t>
            </w:r>
          </w:p>
        </w:tc>
        <w:tc>
          <w:tcPr>
            <w:tcW w:w="9450" w:type="dxa"/>
            <w:tcBorders>
              <w:top w:val="single" w:sz="4" w:space="0" w:color="auto"/>
            </w:tcBorders>
          </w:tcPr>
          <w:p w:rsidR="00101E84" w:rsidRDefault="003D5DAE">
            <w:pPr>
              <w:rPr>
                <w:b/>
                <w:bCs/>
              </w:rPr>
            </w:pPr>
            <w:r w:rsidRPr="005B75DC">
              <w:rPr>
                <w:b/>
                <w:bCs/>
              </w:rPr>
              <w:t>On</w:t>
            </w:r>
            <w:r w:rsidR="00101E84" w:rsidRPr="005B75DC">
              <w:rPr>
                <w:b/>
                <w:bCs/>
              </w:rPr>
              <w:t xml:space="preserve"> the Lines </w:t>
            </w:r>
            <w:r w:rsidR="00BE04B2" w:rsidRPr="005B75DC">
              <w:rPr>
                <w:b/>
                <w:bCs/>
              </w:rPr>
              <w:t>screen</w:t>
            </w:r>
            <w:r w:rsidR="00A022F6" w:rsidRPr="005B75DC">
              <w:rPr>
                <w:b/>
                <w:bCs/>
              </w:rPr>
              <w:t>, record</w:t>
            </w:r>
            <w:r w:rsidRPr="005B75DC">
              <w:rPr>
                <w:b/>
                <w:bCs/>
              </w:rPr>
              <w:t xml:space="preserve"> your transaction</w:t>
            </w:r>
            <w:r w:rsidR="00BE04B2" w:rsidRPr="005B75DC">
              <w:rPr>
                <w:b/>
                <w:bCs/>
              </w:rPr>
              <w:t>s</w:t>
            </w:r>
            <w:r w:rsidRPr="005B75DC">
              <w:rPr>
                <w:b/>
                <w:bCs/>
              </w:rPr>
              <w:t xml:space="preserve"> using the appropriate</w:t>
            </w:r>
            <w:r w:rsidR="00101E84" w:rsidRPr="005B75DC">
              <w:rPr>
                <w:b/>
                <w:bCs/>
              </w:rPr>
              <w:t xml:space="preserve"> </w:t>
            </w:r>
            <w:r w:rsidR="00BE04B2" w:rsidRPr="005B75DC">
              <w:rPr>
                <w:b/>
                <w:bCs/>
              </w:rPr>
              <w:t>account and cost c</w:t>
            </w:r>
            <w:r w:rsidR="00101E84" w:rsidRPr="005B75DC">
              <w:rPr>
                <w:b/>
                <w:bCs/>
              </w:rPr>
              <w:t xml:space="preserve">enter.  </w:t>
            </w:r>
            <w:r w:rsidRPr="005B75DC">
              <w:rPr>
                <w:b/>
                <w:bCs/>
              </w:rPr>
              <w:t xml:space="preserve">Journals prepared during period 998 </w:t>
            </w:r>
            <w:r w:rsidR="00101E84" w:rsidRPr="005B75DC">
              <w:rPr>
                <w:b/>
                <w:bCs/>
              </w:rPr>
              <w:t xml:space="preserve">can transfer </w:t>
            </w:r>
            <w:r w:rsidR="007D6BD3" w:rsidRPr="005B75DC">
              <w:rPr>
                <w:b/>
                <w:bCs/>
              </w:rPr>
              <w:t xml:space="preserve">non-payroll </w:t>
            </w:r>
            <w:r w:rsidR="00101E84" w:rsidRPr="005B75DC">
              <w:rPr>
                <w:b/>
                <w:bCs/>
              </w:rPr>
              <w:t xml:space="preserve">expenses between the following </w:t>
            </w:r>
            <w:r w:rsidR="007D6BD3" w:rsidRPr="005B75DC">
              <w:rPr>
                <w:b/>
                <w:bCs/>
              </w:rPr>
              <w:t xml:space="preserve">types of </w:t>
            </w:r>
            <w:r w:rsidR="00101E84" w:rsidRPr="005B75DC">
              <w:rPr>
                <w:b/>
                <w:bCs/>
              </w:rPr>
              <w:t>cost centers:</w:t>
            </w:r>
          </w:p>
          <w:p w:rsidR="00550B3E" w:rsidRPr="005B75DC" w:rsidRDefault="00550B3E">
            <w:pPr>
              <w:rPr>
                <w:b/>
                <w:bCs/>
              </w:rPr>
            </w:pPr>
          </w:p>
          <w:p w:rsidR="00101E84" w:rsidRPr="005B75DC" w:rsidRDefault="00914D9A" w:rsidP="00101E8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B75DC">
              <w:rPr>
                <w:b/>
                <w:bCs/>
              </w:rPr>
              <w:t>State to S</w:t>
            </w:r>
            <w:r w:rsidR="00101E84" w:rsidRPr="005B75DC">
              <w:rPr>
                <w:b/>
                <w:bCs/>
              </w:rPr>
              <w:t>tate</w:t>
            </w:r>
          </w:p>
          <w:p w:rsidR="00101E84" w:rsidRPr="005B75DC" w:rsidRDefault="00914D9A" w:rsidP="00101E8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B75DC">
              <w:rPr>
                <w:b/>
                <w:bCs/>
              </w:rPr>
              <w:t>Local to L</w:t>
            </w:r>
            <w:r w:rsidR="00101E84" w:rsidRPr="005B75DC">
              <w:rPr>
                <w:b/>
                <w:bCs/>
              </w:rPr>
              <w:t>ocal</w:t>
            </w:r>
          </w:p>
          <w:p w:rsidR="00101E84" w:rsidRPr="005B75DC" w:rsidRDefault="00914D9A" w:rsidP="00101E8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B75DC">
              <w:rPr>
                <w:b/>
                <w:bCs/>
              </w:rPr>
              <w:t>State to L</w:t>
            </w:r>
            <w:r w:rsidR="00101E84" w:rsidRPr="005B75DC">
              <w:rPr>
                <w:b/>
                <w:bCs/>
              </w:rPr>
              <w:t>ocal</w:t>
            </w:r>
          </w:p>
          <w:p w:rsidR="00101E84" w:rsidRPr="005B75DC" w:rsidRDefault="00914D9A" w:rsidP="00101E8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B75DC">
              <w:rPr>
                <w:b/>
                <w:bCs/>
              </w:rPr>
              <w:t>Local to S</w:t>
            </w:r>
            <w:r w:rsidR="00101E84" w:rsidRPr="005B75DC">
              <w:rPr>
                <w:b/>
                <w:bCs/>
              </w:rPr>
              <w:t>tate</w:t>
            </w:r>
          </w:p>
          <w:p w:rsidR="00101E84" w:rsidRPr="005B75DC" w:rsidRDefault="00101E84" w:rsidP="00101E84">
            <w:pPr>
              <w:rPr>
                <w:b/>
                <w:bCs/>
              </w:rPr>
            </w:pPr>
          </w:p>
          <w:p w:rsidR="00101E84" w:rsidRPr="005B75DC" w:rsidRDefault="00101E84" w:rsidP="00101E84">
            <w:pPr>
              <w:rPr>
                <w:b/>
                <w:bCs/>
              </w:rPr>
            </w:pPr>
            <w:r w:rsidRPr="005B75DC">
              <w:rPr>
                <w:b/>
                <w:bCs/>
              </w:rPr>
              <w:t xml:space="preserve">Finance will prepare the voucher for state to local and local to state 998 expenditure transfers.  </w:t>
            </w:r>
            <w:r w:rsidR="00550B3E">
              <w:rPr>
                <w:b/>
                <w:bCs/>
              </w:rPr>
              <w:t>Verify the transferred</w:t>
            </w:r>
            <w:r w:rsidRPr="005B75DC">
              <w:rPr>
                <w:b/>
                <w:bCs/>
              </w:rPr>
              <w:t xml:space="preserve"> </w:t>
            </w:r>
            <w:r w:rsidR="006A3DB7" w:rsidRPr="005B75DC">
              <w:rPr>
                <w:b/>
                <w:bCs/>
              </w:rPr>
              <w:t>expenditure</w:t>
            </w:r>
            <w:r w:rsidRPr="005B75DC">
              <w:rPr>
                <w:b/>
                <w:bCs/>
              </w:rPr>
              <w:t xml:space="preserve"> is allowable for the cost center </w:t>
            </w:r>
            <w:r w:rsidR="00550B3E">
              <w:rPr>
                <w:b/>
                <w:bCs/>
              </w:rPr>
              <w:t>receiving the expenditure</w:t>
            </w:r>
            <w:r w:rsidR="007D6BD3" w:rsidRPr="005B75DC">
              <w:rPr>
                <w:b/>
                <w:bCs/>
              </w:rPr>
              <w:t>.</w:t>
            </w:r>
          </w:p>
          <w:p w:rsidR="00101E84" w:rsidRPr="005B75DC" w:rsidRDefault="00101E84" w:rsidP="00101E84">
            <w:pPr>
              <w:rPr>
                <w:b/>
                <w:bCs/>
              </w:rPr>
            </w:pPr>
          </w:p>
          <w:p w:rsidR="00426ECA" w:rsidRPr="005B75DC" w:rsidRDefault="00101E84" w:rsidP="00101E84">
            <w:pPr>
              <w:rPr>
                <w:b/>
                <w:bCs/>
              </w:rPr>
            </w:pPr>
            <w:r w:rsidRPr="005B75DC">
              <w:rPr>
                <w:b/>
                <w:bCs/>
              </w:rPr>
              <w:t xml:space="preserve">You can also transfer fund equity </w:t>
            </w:r>
            <w:r w:rsidR="00426ECA" w:rsidRPr="005B75DC">
              <w:rPr>
                <w:b/>
                <w:bCs/>
              </w:rPr>
              <w:t xml:space="preserve">between allowable fund codes.  See the State and Local Fund Equity Non-Mandatory Transfer instructions on the web: </w:t>
            </w:r>
            <w:hyperlink r:id="rId11" w:history="1">
              <w:r w:rsidR="00D74317" w:rsidRPr="005B75DC">
                <w:rPr>
                  <w:rStyle w:val="Hyperlink"/>
                  <w:b/>
                  <w:bCs/>
                </w:rPr>
                <w:t>http://www.uh.edu/finance/pages/Ref_Fund_Equity.htm</w:t>
              </w:r>
            </w:hyperlink>
            <w:r w:rsidR="00D74317" w:rsidRPr="005B75DC">
              <w:rPr>
                <w:b/>
                <w:bCs/>
              </w:rPr>
              <w:t xml:space="preserve"> </w:t>
            </w:r>
          </w:p>
          <w:p w:rsidR="007D6BD3" w:rsidRPr="005B75DC" w:rsidRDefault="007D6BD3" w:rsidP="00101E84">
            <w:pPr>
              <w:rPr>
                <w:b/>
                <w:bCs/>
              </w:rPr>
            </w:pPr>
          </w:p>
        </w:tc>
      </w:tr>
    </w:tbl>
    <w:p w:rsidR="00DE54C1" w:rsidRDefault="00DE54C1" w:rsidP="00F56C0F"/>
    <w:sectPr w:rsidR="00DE54C1" w:rsidSect="00543A19">
      <w:headerReference w:type="default" r:id="rId12"/>
      <w:footerReference w:type="default" r:id="rId13"/>
      <w:pgSz w:w="12240" w:h="15840" w:code="1"/>
      <w:pgMar w:top="1152" w:right="2448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E5" w:rsidRDefault="00496BE5">
      <w:r>
        <w:separator/>
      </w:r>
    </w:p>
  </w:endnote>
  <w:endnote w:type="continuationSeparator" w:id="0">
    <w:p w:rsidR="00496BE5" w:rsidRDefault="0049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34" w:rsidRDefault="00C84FA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413921">
      <w:rPr>
        <w:noProof/>
      </w:rPr>
      <w:t>Creating</w:t>
    </w:r>
    <w:r w:rsidR="00941852">
      <w:rPr>
        <w:noProof/>
      </w:rPr>
      <w:t xml:space="preserve"> </w:t>
    </w:r>
    <w:r w:rsidR="00413921">
      <w:rPr>
        <w:noProof/>
      </w:rPr>
      <w:t>Journal</w:t>
    </w:r>
    <w:r w:rsidR="00941852">
      <w:rPr>
        <w:noProof/>
      </w:rPr>
      <w:t xml:space="preserve"> </w:t>
    </w:r>
    <w:r w:rsidR="00413921">
      <w:rPr>
        <w:noProof/>
      </w:rPr>
      <w:t>998</w:t>
    </w:r>
    <w:r w:rsidR="00941852">
      <w:rPr>
        <w:noProof/>
      </w:rPr>
      <w:t xml:space="preserve"> </w:t>
    </w:r>
    <w:r>
      <w:rPr>
        <w:noProof/>
      </w:rPr>
      <w:fldChar w:fldCharType="end"/>
    </w:r>
    <w:r w:rsidR="00801034">
      <w:tab/>
      <w:t xml:space="preserve"> </w:t>
    </w:r>
    <w:r w:rsidR="007D3A51">
      <w:tab/>
    </w:r>
    <w:r w:rsidR="007D3A51">
      <w:tab/>
    </w:r>
    <w:r w:rsidR="00801034">
      <w:rPr>
        <w:rStyle w:val="PageNumber"/>
      </w:rPr>
      <w:t xml:space="preserve">Page </w:t>
    </w:r>
    <w:r w:rsidR="00801034">
      <w:rPr>
        <w:rStyle w:val="PageNumber"/>
      </w:rPr>
      <w:fldChar w:fldCharType="begin"/>
    </w:r>
    <w:r w:rsidR="00801034">
      <w:rPr>
        <w:rStyle w:val="PageNumber"/>
      </w:rPr>
      <w:instrText xml:space="preserve"> PAGE </w:instrText>
    </w:r>
    <w:r w:rsidR="00801034">
      <w:rPr>
        <w:rStyle w:val="PageNumber"/>
      </w:rPr>
      <w:fldChar w:fldCharType="separate"/>
    </w:r>
    <w:r>
      <w:rPr>
        <w:rStyle w:val="PageNumber"/>
        <w:noProof/>
      </w:rPr>
      <w:t>2</w:t>
    </w:r>
    <w:r w:rsidR="00801034">
      <w:rPr>
        <w:rStyle w:val="PageNumber"/>
      </w:rPr>
      <w:fldChar w:fldCharType="end"/>
    </w:r>
    <w:r w:rsidR="00801034">
      <w:rPr>
        <w:rStyle w:val="PageNumber"/>
      </w:rPr>
      <w:t xml:space="preserve"> of </w:t>
    </w:r>
    <w:r w:rsidR="00801034">
      <w:rPr>
        <w:rStyle w:val="PageNumber"/>
      </w:rPr>
      <w:fldChar w:fldCharType="begin"/>
    </w:r>
    <w:r w:rsidR="00801034">
      <w:rPr>
        <w:rStyle w:val="PageNumber"/>
      </w:rPr>
      <w:instrText xml:space="preserve"> NUMPAGES </w:instrText>
    </w:r>
    <w:r w:rsidR="00801034">
      <w:rPr>
        <w:rStyle w:val="PageNumber"/>
      </w:rPr>
      <w:fldChar w:fldCharType="separate"/>
    </w:r>
    <w:r>
      <w:rPr>
        <w:rStyle w:val="PageNumber"/>
        <w:noProof/>
      </w:rPr>
      <w:t>2</w:t>
    </w:r>
    <w:r w:rsidR="0080103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E5" w:rsidRDefault="00496BE5">
      <w:r>
        <w:separator/>
      </w:r>
    </w:p>
  </w:footnote>
  <w:footnote w:type="continuationSeparator" w:id="0">
    <w:p w:rsidR="00496BE5" w:rsidRDefault="0049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34" w:rsidRDefault="0080103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F5CAD"/>
    <w:multiLevelType w:val="hybridMultilevel"/>
    <w:tmpl w:val="DC649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A3"/>
    <w:rsid w:val="00003073"/>
    <w:rsid w:val="0004284E"/>
    <w:rsid w:val="000670C9"/>
    <w:rsid w:val="000768AB"/>
    <w:rsid w:val="000E0185"/>
    <w:rsid w:val="00101E84"/>
    <w:rsid w:val="00167E2D"/>
    <w:rsid w:val="0017110F"/>
    <w:rsid w:val="001A05E6"/>
    <w:rsid w:val="001A4D5C"/>
    <w:rsid w:val="001C586B"/>
    <w:rsid w:val="00202F93"/>
    <w:rsid w:val="00204FFF"/>
    <w:rsid w:val="00237329"/>
    <w:rsid w:val="00255D5A"/>
    <w:rsid w:val="00270DF8"/>
    <w:rsid w:val="002B0A1E"/>
    <w:rsid w:val="002D31B2"/>
    <w:rsid w:val="002E5BBA"/>
    <w:rsid w:val="002E75A9"/>
    <w:rsid w:val="0030549B"/>
    <w:rsid w:val="00315646"/>
    <w:rsid w:val="00327061"/>
    <w:rsid w:val="00331B38"/>
    <w:rsid w:val="00331DE2"/>
    <w:rsid w:val="0033494D"/>
    <w:rsid w:val="0034558D"/>
    <w:rsid w:val="003557DE"/>
    <w:rsid w:val="00383F99"/>
    <w:rsid w:val="0039650E"/>
    <w:rsid w:val="003D3957"/>
    <w:rsid w:val="003D5DAE"/>
    <w:rsid w:val="003E23EE"/>
    <w:rsid w:val="004103B9"/>
    <w:rsid w:val="00413921"/>
    <w:rsid w:val="004225D4"/>
    <w:rsid w:val="00426ECA"/>
    <w:rsid w:val="004363C5"/>
    <w:rsid w:val="004479BD"/>
    <w:rsid w:val="00450901"/>
    <w:rsid w:val="00477119"/>
    <w:rsid w:val="00477D41"/>
    <w:rsid w:val="00496BE5"/>
    <w:rsid w:val="004F0A7A"/>
    <w:rsid w:val="005048D9"/>
    <w:rsid w:val="00521020"/>
    <w:rsid w:val="0053222F"/>
    <w:rsid w:val="00543A19"/>
    <w:rsid w:val="00544137"/>
    <w:rsid w:val="00545960"/>
    <w:rsid w:val="00550B3E"/>
    <w:rsid w:val="005515BD"/>
    <w:rsid w:val="00561851"/>
    <w:rsid w:val="00561B4C"/>
    <w:rsid w:val="00565FF9"/>
    <w:rsid w:val="00575C74"/>
    <w:rsid w:val="005838DE"/>
    <w:rsid w:val="005840B1"/>
    <w:rsid w:val="005855E0"/>
    <w:rsid w:val="0058753B"/>
    <w:rsid w:val="0059026B"/>
    <w:rsid w:val="005B1DF4"/>
    <w:rsid w:val="005B75DC"/>
    <w:rsid w:val="005B78E4"/>
    <w:rsid w:val="005C5D45"/>
    <w:rsid w:val="005D1D44"/>
    <w:rsid w:val="006045A9"/>
    <w:rsid w:val="006144F7"/>
    <w:rsid w:val="00636D67"/>
    <w:rsid w:val="006450EA"/>
    <w:rsid w:val="0065481D"/>
    <w:rsid w:val="00656FF3"/>
    <w:rsid w:val="0066367F"/>
    <w:rsid w:val="00682827"/>
    <w:rsid w:val="006A3DB7"/>
    <w:rsid w:val="006B73A4"/>
    <w:rsid w:val="006C2A72"/>
    <w:rsid w:val="006C5273"/>
    <w:rsid w:val="006D6CCE"/>
    <w:rsid w:val="006F02BD"/>
    <w:rsid w:val="006F183E"/>
    <w:rsid w:val="00715C22"/>
    <w:rsid w:val="007163B0"/>
    <w:rsid w:val="00740386"/>
    <w:rsid w:val="00777186"/>
    <w:rsid w:val="007D3A51"/>
    <w:rsid w:val="007D5938"/>
    <w:rsid w:val="007D5B37"/>
    <w:rsid w:val="007D6945"/>
    <w:rsid w:val="007D6BD3"/>
    <w:rsid w:val="007E7D5E"/>
    <w:rsid w:val="007F7CF4"/>
    <w:rsid w:val="00801034"/>
    <w:rsid w:val="00821CDF"/>
    <w:rsid w:val="008306B7"/>
    <w:rsid w:val="00843895"/>
    <w:rsid w:val="008548E6"/>
    <w:rsid w:val="0088271F"/>
    <w:rsid w:val="008A6AD2"/>
    <w:rsid w:val="008B34FC"/>
    <w:rsid w:val="008B6301"/>
    <w:rsid w:val="008B6BD1"/>
    <w:rsid w:val="008B749C"/>
    <w:rsid w:val="008C346C"/>
    <w:rsid w:val="008E71DA"/>
    <w:rsid w:val="009049CF"/>
    <w:rsid w:val="00914D9A"/>
    <w:rsid w:val="009236E0"/>
    <w:rsid w:val="0093154B"/>
    <w:rsid w:val="00935D21"/>
    <w:rsid w:val="009413A2"/>
    <w:rsid w:val="00941852"/>
    <w:rsid w:val="00954016"/>
    <w:rsid w:val="009E28F6"/>
    <w:rsid w:val="009E39A9"/>
    <w:rsid w:val="00A022F6"/>
    <w:rsid w:val="00A302FB"/>
    <w:rsid w:val="00A43F90"/>
    <w:rsid w:val="00A446CE"/>
    <w:rsid w:val="00A850C5"/>
    <w:rsid w:val="00A9739B"/>
    <w:rsid w:val="00AB4C85"/>
    <w:rsid w:val="00AE31B8"/>
    <w:rsid w:val="00AF0AEB"/>
    <w:rsid w:val="00B06D96"/>
    <w:rsid w:val="00B130FF"/>
    <w:rsid w:val="00B30405"/>
    <w:rsid w:val="00B571F7"/>
    <w:rsid w:val="00B66297"/>
    <w:rsid w:val="00B74B71"/>
    <w:rsid w:val="00B91F27"/>
    <w:rsid w:val="00B95FD9"/>
    <w:rsid w:val="00BA5778"/>
    <w:rsid w:val="00BC028B"/>
    <w:rsid w:val="00BC1DFD"/>
    <w:rsid w:val="00BD43C7"/>
    <w:rsid w:val="00BE04B2"/>
    <w:rsid w:val="00BE48F7"/>
    <w:rsid w:val="00C00CB8"/>
    <w:rsid w:val="00C02C91"/>
    <w:rsid w:val="00C03723"/>
    <w:rsid w:val="00C17DB0"/>
    <w:rsid w:val="00C22537"/>
    <w:rsid w:val="00C37425"/>
    <w:rsid w:val="00C411FA"/>
    <w:rsid w:val="00C4436A"/>
    <w:rsid w:val="00C66B54"/>
    <w:rsid w:val="00C845A3"/>
    <w:rsid w:val="00C84FAE"/>
    <w:rsid w:val="00C91A9D"/>
    <w:rsid w:val="00C95A60"/>
    <w:rsid w:val="00CA4B4A"/>
    <w:rsid w:val="00CD2F54"/>
    <w:rsid w:val="00CE6C02"/>
    <w:rsid w:val="00D1030A"/>
    <w:rsid w:val="00D36314"/>
    <w:rsid w:val="00D513C6"/>
    <w:rsid w:val="00D54C84"/>
    <w:rsid w:val="00D74317"/>
    <w:rsid w:val="00D97FDA"/>
    <w:rsid w:val="00DB5913"/>
    <w:rsid w:val="00DE54C1"/>
    <w:rsid w:val="00DF4986"/>
    <w:rsid w:val="00E106D5"/>
    <w:rsid w:val="00E221C3"/>
    <w:rsid w:val="00E23518"/>
    <w:rsid w:val="00E74F80"/>
    <w:rsid w:val="00EC5437"/>
    <w:rsid w:val="00EC64B5"/>
    <w:rsid w:val="00F13397"/>
    <w:rsid w:val="00F205B9"/>
    <w:rsid w:val="00F44119"/>
    <w:rsid w:val="00F56C0F"/>
    <w:rsid w:val="00F614B4"/>
    <w:rsid w:val="00F71FC7"/>
    <w:rsid w:val="00F75389"/>
    <w:rsid w:val="00F9507A"/>
    <w:rsid w:val="00FB02F1"/>
    <w:rsid w:val="00FB23B7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E2638-4C6B-4E35-B876-D9208E8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footer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5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A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A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3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3A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3A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A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A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3A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sz w:val="22"/>
    </w:rPr>
  </w:style>
  <w:style w:type="paragraph" w:customStyle="1" w:styleId="Normal2">
    <w:name w:val="Normal 2"/>
    <w:basedOn w:val="Heading2"/>
    <w:pPr>
      <w:outlineLvl w:val="9"/>
    </w:pPr>
    <w:rPr>
      <w:rFonts w:ascii="Times New Roman" w:hAnsi="Times New Roman"/>
      <w:b w:val="0"/>
      <w:i w:val="0"/>
    </w:rPr>
  </w:style>
  <w:style w:type="paragraph" w:styleId="Caption">
    <w:name w:val="caption"/>
    <w:basedOn w:val="Normal"/>
    <w:next w:val="Normal"/>
    <w:pPr>
      <w:jc w:val="center"/>
    </w:pPr>
    <w:rPr>
      <w:b/>
      <w:sz w:val="28"/>
    </w:rPr>
  </w:style>
  <w:style w:type="paragraph" w:customStyle="1" w:styleId="term1">
    <w:name w:val="term1"/>
    <w:basedOn w:val="Normal"/>
    <w:pPr>
      <w:spacing w:before="60" w:after="20"/>
    </w:pPr>
    <w:rPr>
      <w:rFonts w:ascii="Arial" w:eastAsia="Arial Unicode MS" w:hAnsi="Arial" w:cs="Arial"/>
      <w:color w:val="000000"/>
    </w:rPr>
  </w:style>
  <w:style w:type="paragraph" w:styleId="BodyText">
    <w:name w:val="Body Text"/>
    <w:basedOn w:val="Normal"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i/>
      <w:iCs/>
    </w:rPr>
  </w:style>
  <w:style w:type="paragraph" w:styleId="BalloonText">
    <w:name w:val="Balloon Text"/>
    <w:basedOn w:val="Normal"/>
    <w:semiHidden/>
    <w:rsid w:val="00C845A3"/>
    <w:rPr>
      <w:rFonts w:ascii="Tahoma" w:hAnsi="Tahoma" w:cs="Tahoma"/>
      <w:sz w:val="16"/>
      <w:szCs w:val="16"/>
    </w:rPr>
  </w:style>
  <w:style w:type="character" w:styleId="Hyperlink">
    <w:name w:val="Hyperlink"/>
    <w:rsid w:val="00426ECA"/>
    <w:rPr>
      <w:color w:val="0000FF"/>
      <w:u w:val="single"/>
    </w:rPr>
  </w:style>
  <w:style w:type="character" w:styleId="CommentReference">
    <w:name w:val="annotation reference"/>
    <w:semiHidden/>
    <w:rsid w:val="008B749C"/>
    <w:rPr>
      <w:sz w:val="16"/>
      <w:szCs w:val="16"/>
    </w:rPr>
  </w:style>
  <w:style w:type="paragraph" w:styleId="CommentText">
    <w:name w:val="annotation text"/>
    <w:basedOn w:val="Normal"/>
    <w:semiHidden/>
    <w:rsid w:val="008B749C"/>
  </w:style>
  <w:style w:type="paragraph" w:styleId="CommentSubject">
    <w:name w:val="annotation subject"/>
    <w:basedOn w:val="CommentText"/>
    <w:next w:val="CommentText"/>
    <w:semiHidden/>
    <w:rsid w:val="008B749C"/>
    <w:rPr>
      <w:b/>
      <w:bCs/>
    </w:rPr>
  </w:style>
  <w:style w:type="character" w:customStyle="1" w:styleId="Heading1Char">
    <w:name w:val="Heading 1 Char"/>
    <w:link w:val="Heading1"/>
    <w:uiPriority w:val="9"/>
    <w:rsid w:val="00FB3A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B3A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B3A5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B3A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FB3A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FB3A5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B3A5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B3A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FB3A5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B3A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3A5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A5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B3A5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B3A5E"/>
    <w:rPr>
      <w:b/>
      <w:bCs/>
    </w:rPr>
  </w:style>
  <w:style w:type="character" w:styleId="Emphasis">
    <w:name w:val="Emphasis"/>
    <w:uiPriority w:val="20"/>
    <w:qFormat/>
    <w:rsid w:val="00FB3A5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B3A5E"/>
    <w:rPr>
      <w:szCs w:val="32"/>
    </w:rPr>
  </w:style>
  <w:style w:type="paragraph" w:styleId="ListParagraph">
    <w:name w:val="List Paragraph"/>
    <w:basedOn w:val="Normal"/>
    <w:uiPriority w:val="34"/>
    <w:qFormat/>
    <w:rsid w:val="00FB3A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3A5E"/>
    <w:rPr>
      <w:i/>
    </w:rPr>
  </w:style>
  <w:style w:type="character" w:customStyle="1" w:styleId="QuoteChar">
    <w:name w:val="Quote Char"/>
    <w:link w:val="Quote"/>
    <w:uiPriority w:val="29"/>
    <w:rsid w:val="00FB3A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A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B3A5E"/>
    <w:rPr>
      <w:b/>
      <w:i/>
      <w:sz w:val="24"/>
    </w:rPr>
  </w:style>
  <w:style w:type="character" w:styleId="SubtleEmphasis">
    <w:name w:val="Subtle Emphasis"/>
    <w:uiPriority w:val="19"/>
    <w:qFormat/>
    <w:rsid w:val="00FB3A5E"/>
    <w:rPr>
      <w:i/>
      <w:color w:val="5A5A5A"/>
    </w:rPr>
  </w:style>
  <w:style w:type="character" w:styleId="IntenseEmphasis">
    <w:name w:val="Intense Emphasis"/>
    <w:uiPriority w:val="21"/>
    <w:qFormat/>
    <w:rsid w:val="00FB3A5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B3A5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B3A5E"/>
    <w:rPr>
      <w:b/>
      <w:sz w:val="24"/>
      <w:u w:val="single"/>
    </w:rPr>
  </w:style>
  <w:style w:type="character" w:styleId="BookTitle">
    <w:name w:val="Book Title"/>
    <w:uiPriority w:val="33"/>
    <w:qFormat/>
    <w:rsid w:val="00FB3A5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3A5E"/>
    <w:pPr>
      <w:outlineLvl w:val="9"/>
    </w:pPr>
  </w:style>
  <w:style w:type="character" w:customStyle="1" w:styleId="FooterChar">
    <w:name w:val="Footer Char"/>
    <w:link w:val="Footer"/>
    <w:uiPriority w:val="99"/>
    <w:rsid w:val="00F9507A"/>
    <w:rPr>
      <w:sz w:val="24"/>
      <w:szCs w:val="24"/>
      <w:lang w:bidi="en-US"/>
    </w:rPr>
  </w:style>
  <w:style w:type="character" w:styleId="FollowedHyperlink">
    <w:name w:val="FollowedHyperlink"/>
    <w:rsid w:val="00C0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h.edu/finance/pages/Ref_Fund_Equity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92B0-FCE4-403E-9021-6E66DBF2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Peoplesoft Financials Testing Worksheet</vt:lpstr>
    </vt:vector>
  </TitlesOfParts>
  <Company>University of Houston</Company>
  <LinksUpToDate>false</LinksUpToDate>
  <CharactersWithSpaces>1753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http://www.uh.edu/finance/pages/Ref_Fund_Equity.htm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Peoplesoft Financials Testing Worksheet</dc:title>
  <dc:subject/>
  <dc:creator>Mark Hough</dc:creator>
  <cp:keywords/>
  <cp:lastModifiedBy>Davila, Monica</cp:lastModifiedBy>
  <cp:revision>3</cp:revision>
  <cp:lastPrinted>2015-06-22T16:56:00Z</cp:lastPrinted>
  <dcterms:created xsi:type="dcterms:W3CDTF">2021-09-07T14:26:00Z</dcterms:created>
  <dcterms:modified xsi:type="dcterms:W3CDTF">2022-06-06T16:41:00Z</dcterms:modified>
</cp:coreProperties>
</file>