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AE" w:rsidRPr="004E15AE" w:rsidRDefault="004E15AE" w:rsidP="004E15AE">
      <w:pPr>
        <w:rPr>
          <w:u w:val="single"/>
        </w:rPr>
      </w:pPr>
      <w:r w:rsidRPr="004E15AE">
        <w:rPr>
          <w:u w:val="single"/>
        </w:rPr>
        <w:t>Viewing Outstanding Encumbrances</w:t>
      </w:r>
    </w:p>
    <w:p w:rsidR="004E15AE" w:rsidRDefault="004E15AE" w:rsidP="004E15AE"/>
    <w:p w:rsidR="004E15AE" w:rsidRDefault="004E15AE" w:rsidP="004E15AE">
      <w:r>
        <w:t xml:space="preserve">Departments may run the following query or report to see all of their open commitments:  </w:t>
      </w:r>
    </w:p>
    <w:p w:rsidR="004E15AE" w:rsidRDefault="004E15AE" w:rsidP="004E15AE"/>
    <w:p w:rsidR="004E15AE" w:rsidRDefault="004E15AE" w:rsidP="004E15AE">
      <w:pPr>
        <w:numPr>
          <w:ilvl w:val="0"/>
          <w:numId w:val="4"/>
        </w:numPr>
      </w:pPr>
      <w:r>
        <w:t>UHS_OPEN_COMMITMENT_DETAIL</w:t>
      </w:r>
    </w:p>
    <w:p w:rsidR="004E15AE" w:rsidRDefault="004E15AE" w:rsidP="004E15AE">
      <w:pPr>
        <w:numPr>
          <w:ilvl w:val="0"/>
          <w:numId w:val="4"/>
        </w:numPr>
      </w:pPr>
      <w:r>
        <w:t>UGLS01074, Section 4 (Open Commitments)</w:t>
      </w:r>
    </w:p>
    <w:p w:rsidR="004E15AE" w:rsidRDefault="004E15AE" w:rsidP="004E15AE"/>
    <w:p w:rsidR="004E15AE" w:rsidRDefault="004E15AE" w:rsidP="004E15AE">
      <w:r>
        <w:t xml:space="preserve">To view the encumbrance and liquidation history of a particular PO, run the PO Status Report (Navigation: Custom Reports / </w:t>
      </w:r>
      <w:smartTag w:uri="urn:schemas-microsoft-com:office:smarttags" w:element="place">
        <w:r>
          <w:t>PO</w:t>
        </w:r>
      </w:smartTag>
      <w:r>
        <w:t xml:space="preserve"> / PO Status Report)</w:t>
      </w:r>
    </w:p>
    <w:p w:rsidR="004E15AE" w:rsidRDefault="004E15AE">
      <w:pPr>
        <w:rPr>
          <w:u w:val="single"/>
        </w:rPr>
      </w:pPr>
    </w:p>
    <w:p w:rsidR="004E15AE" w:rsidRPr="004E15AE" w:rsidRDefault="004E15AE">
      <w:pPr>
        <w:rPr>
          <w:u w:val="single"/>
        </w:rPr>
      </w:pPr>
      <w:r w:rsidRPr="004E15AE">
        <w:rPr>
          <w:u w:val="single"/>
        </w:rPr>
        <w:t xml:space="preserve">Carry Forward of Prior-Year </w:t>
      </w:r>
      <w:smartTag w:uri="urn:schemas-microsoft-com:office:smarttags" w:element="place">
        <w:r w:rsidRPr="004E15AE">
          <w:rPr>
            <w:u w:val="single"/>
          </w:rPr>
          <w:t>PO</w:t>
        </w:r>
      </w:smartTag>
      <w:r w:rsidRPr="004E15AE">
        <w:rPr>
          <w:u w:val="single"/>
        </w:rPr>
        <w:t xml:space="preserve"> Encumbrances</w:t>
      </w:r>
      <w:r>
        <w:rPr>
          <w:u w:val="single"/>
        </w:rPr>
        <w:t xml:space="preserve"> on Non-Project Cost Centers</w:t>
      </w:r>
    </w:p>
    <w:p w:rsidR="004E15AE" w:rsidRDefault="004E15AE"/>
    <w:p w:rsidR="00794A87" w:rsidRDefault="00794A87">
      <w:r>
        <w:t xml:space="preserve">The following actions will occur on </w:t>
      </w:r>
      <w:r w:rsidR="00D0792E">
        <w:t xml:space="preserve">August </w:t>
      </w:r>
      <w:r w:rsidR="007C204A">
        <w:t>31, 20</w:t>
      </w:r>
      <w:r w:rsidR="0037634D">
        <w:t>2</w:t>
      </w:r>
      <w:r w:rsidR="003960AB">
        <w:t>4</w:t>
      </w:r>
      <w:r>
        <w:t xml:space="preserve"> to carry forward prior-year </w:t>
      </w:r>
      <w:r w:rsidR="00D0792E">
        <w:t>(FY</w:t>
      </w:r>
      <w:r w:rsidR="0037634D">
        <w:t>2</w:t>
      </w:r>
      <w:r w:rsidR="003960AB">
        <w:t>4</w:t>
      </w:r>
      <w:r w:rsidR="004E15AE">
        <w:t xml:space="preserve">) </w:t>
      </w:r>
      <w:r>
        <w:t xml:space="preserve">PO encumbrances </w:t>
      </w:r>
      <w:r w:rsidR="004E15AE">
        <w:t xml:space="preserve">on non-project cost centers </w:t>
      </w:r>
      <w:r w:rsidR="001E479C">
        <w:t>into FY</w:t>
      </w:r>
      <w:r w:rsidR="00CC4408">
        <w:t>2</w:t>
      </w:r>
      <w:r w:rsidR="003960AB">
        <w:t>5</w:t>
      </w:r>
      <w:r>
        <w:t>:</w:t>
      </w:r>
    </w:p>
    <w:p w:rsidR="00794A87" w:rsidRDefault="00794A87"/>
    <w:p w:rsidR="00794A87" w:rsidRDefault="00D0792E" w:rsidP="00794A87">
      <w:pPr>
        <w:numPr>
          <w:ilvl w:val="0"/>
          <w:numId w:val="1"/>
        </w:numPr>
      </w:pPr>
      <w:r>
        <w:t>Finance</w:t>
      </w:r>
      <w:r w:rsidR="00794A87">
        <w:t xml:space="preserve"> will create a GL encumbrance journal for e</w:t>
      </w:r>
      <w:r>
        <w:t>ach outstanding prior-year (FY</w:t>
      </w:r>
      <w:r w:rsidR="0037634D">
        <w:t>2</w:t>
      </w:r>
      <w:r w:rsidR="003960AB">
        <w:t>4</w:t>
      </w:r>
      <w:r w:rsidR="00794A87">
        <w:t xml:space="preserve"> and earlier) PO</w:t>
      </w:r>
      <w:r w:rsidR="001E479C">
        <w:t xml:space="preserve"> encumbrance and post it in FY</w:t>
      </w:r>
      <w:r w:rsidR="00CC4408">
        <w:t>2</w:t>
      </w:r>
      <w:r w:rsidR="003960AB">
        <w:t>5</w:t>
      </w:r>
      <w:r w:rsidR="00794A87">
        <w:t>.</w:t>
      </w:r>
    </w:p>
    <w:p w:rsidR="00794A87" w:rsidRDefault="00D0792E" w:rsidP="00794A87">
      <w:pPr>
        <w:numPr>
          <w:ilvl w:val="0"/>
          <w:numId w:val="1"/>
        </w:numPr>
      </w:pPr>
      <w:r>
        <w:t>Finance</w:t>
      </w:r>
      <w:r w:rsidR="00794A87">
        <w:t xml:space="preserve"> will create a budget journal for the same amount to cover the prior-year PO</w:t>
      </w:r>
      <w:r w:rsidR="001E479C">
        <w:t xml:space="preserve"> encumbrance and post it in FY</w:t>
      </w:r>
      <w:r w:rsidR="00CC4408">
        <w:t>2</w:t>
      </w:r>
      <w:r w:rsidR="003960AB">
        <w:t>5</w:t>
      </w:r>
      <w:r w:rsidR="00794A87">
        <w:t>.</w:t>
      </w:r>
    </w:p>
    <w:p w:rsidR="00794A87" w:rsidRDefault="00794A87" w:rsidP="00794A87"/>
    <w:p w:rsidR="00794A87" w:rsidRDefault="00794A87" w:rsidP="00794A87">
      <w:r>
        <w:t xml:space="preserve">The above </w:t>
      </w:r>
      <w:r w:rsidR="00263ABE">
        <w:t>actions</w:t>
      </w:r>
      <w:r>
        <w:t xml:space="preserve"> will not</w:t>
      </w:r>
      <w:r w:rsidR="00D0792E">
        <w:t xml:space="preserve"> occur for non-PO encumbrances </w:t>
      </w:r>
      <w:r w:rsidR="008654E3">
        <w:t xml:space="preserve">or </w:t>
      </w:r>
      <w:r>
        <w:t>PO encumbrances on p</w:t>
      </w:r>
      <w:r w:rsidR="00263ABE">
        <w:t>roject cost centers, since the</w:t>
      </w:r>
      <w:r>
        <w:t xml:space="preserve"> budget and </w:t>
      </w:r>
      <w:smartTag w:uri="urn:schemas-microsoft-com:office:smarttags" w:element="place">
        <w:r>
          <w:t>PO</w:t>
        </w:r>
      </w:smartTag>
      <w:r>
        <w:t xml:space="preserve"> </w:t>
      </w:r>
      <w:r w:rsidR="00263ABE">
        <w:t>encumbrance on projects</w:t>
      </w:r>
      <w:r>
        <w:t xml:space="preserve"> are</w:t>
      </w:r>
      <w:r w:rsidR="008654E3">
        <w:t xml:space="preserve"> not tied to a particular fiscal year</w:t>
      </w:r>
      <w:r>
        <w:t>.</w:t>
      </w:r>
    </w:p>
    <w:p w:rsidR="00794A87" w:rsidRDefault="00794A87" w:rsidP="00794A87"/>
    <w:p w:rsidR="006F240E" w:rsidRDefault="00794A87" w:rsidP="006F240E">
      <w:pPr>
        <w:tabs>
          <w:tab w:val="left" w:pos="1440"/>
          <w:tab w:val="decimal" w:pos="5760"/>
        </w:tabs>
      </w:pPr>
      <w:r>
        <w:t xml:space="preserve">No action is required by departments </w:t>
      </w:r>
      <w:r w:rsidR="004E15AE">
        <w:t>for the above carry forward process</w:t>
      </w:r>
      <w:r>
        <w:t xml:space="preserve">.  </w:t>
      </w:r>
      <w:r w:rsidR="006F240E">
        <w:t>Do not attempt to create prior-year budget journals or GL encumbrance journals manually.  These are created through a special program and should not be created by departments.</w:t>
      </w:r>
    </w:p>
    <w:p w:rsidR="00794A87" w:rsidRDefault="00794A87" w:rsidP="00794A87"/>
    <w:p w:rsidR="004E15AE" w:rsidRPr="004E15AE" w:rsidRDefault="004E15AE" w:rsidP="00794A87">
      <w:pPr>
        <w:rPr>
          <w:u w:val="single"/>
        </w:rPr>
      </w:pPr>
      <w:r w:rsidRPr="004E15AE">
        <w:rPr>
          <w:u w:val="single"/>
        </w:rPr>
        <w:t xml:space="preserve">BBA Sweep Process for Prior-Year </w:t>
      </w:r>
      <w:smartTag w:uri="urn:schemas-microsoft-com:office:smarttags" w:element="place">
        <w:r w:rsidRPr="004E15AE">
          <w:rPr>
            <w:u w:val="single"/>
          </w:rPr>
          <w:t>PO</w:t>
        </w:r>
      </w:smartTag>
      <w:r w:rsidRPr="004E15AE">
        <w:rPr>
          <w:u w:val="single"/>
        </w:rPr>
        <w:t xml:space="preserve"> Encumbrances</w:t>
      </w:r>
    </w:p>
    <w:p w:rsidR="004E15AE" w:rsidRDefault="004E15AE" w:rsidP="00794A87"/>
    <w:p w:rsidR="004E15AE" w:rsidRDefault="00D45D19" w:rsidP="00794A87">
      <w:r>
        <w:t>When</w:t>
      </w:r>
      <w:r w:rsidR="00C93F52">
        <w:t xml:space="preserve"> the GL encumbrance journals and budget journals are created for prior-year </w:t>
      </w:r>
      <w:smartTag w:uri="urn:schemas-microsoft-com:office:smarttags" w:element="place">
        <w:r w:rsidR="00C93F52">
          <w:t>PO</w:t>
        </w:r>
      </w:smartTag>
      <w:r w:rsidR="00C93F52">
        <w:t>’s, the prior-year BBA’</w:t>
      </w:r>
      <w:r>
        <w:t>s will</w:t>
      </w:r>
      <w:r w:rsidR="00C93F52">
        <w:t xml:space="preserve"> </w:t>
      </w:r>
      <w:r w:rsidR="006F240E">
        <w:t xml:space="preserve">be </w:t>
      </w:r>
      <w:r w:rsidR="00C93F52">
        <w:t xml:space="preserve">zero.  If </w:t>
      </w:r>
      <w:r w:rsidR="00345D9F">
        <w:t>a</w:t>
      </w:r>
      <w:r w:rsidR="00C93F52">
        <w:t xml:space="preserve"> prior-year PO is then paid in full on a </w:t>
      </w:r>
      <w:smartTag w:uri="urn:schemas-microsoft-com:office:smarttags" w:element="place">
        <w:r w:rsidR="00C93F52">
          <w:t>PO</w:t>
        </w:r>
      </w:smartTag>
      <w:r w:rsidR="00C93F52">
        <w:t xml:space="preserve"> voucher, the BBA </w:t>
      </w:r>
      <w:r>
        <w:t xml:space="preserve">will </w:t>
      </w:r>
      <w:r w:rsidR="00C93F52">
        <w:t>remain zero.  However, when a prior-year PO is canceled or when an associated PO voucher is finalized</w:t>
      </w:r>
      <w:r w:rsidR="00345D9F">
        <w:t xml:space="preserve">, because the </w:t>
      </w:r>
      <w:smartTag w:uri="urn:schemas-microsoft-com:office:smarttags" w:element="place">
        <w:r w:rsidR="00345D9F">
          <w:t>PO</w:t>
        </w:r>
      </w:smartTag>
      <w:r w:rsidR="00345D9F">
        <w:t xml:space="preserve"> will not be paid in full</w:t>
      </w:r>
      <w:r w:rsidR="00C93F52">
        <w:t xml:space="preserve">, </w:t>
      </w:r>
      <w:r w:rsidR="00345D9F">
        <w:t xml:space="preserve">a positive prior-year BBA is created.  </w:t>
      </w:r>
      <w:r w:rsidR="00C93F52">
        <w:t xml:space="preserve">Since prior-year budget is only intended to cover a prior-year </w:t>
      </w:r>
      <w:smartTag w:uri="urn:schemas-microsoft-com:office:smarttags" w:element="place">
        <w:r w:rsidR="00C93F52">
          <w:t>PO</w:t>
        </w:r>
      </w:smartTag>
      <w:r w:rsidR="00C93F52">
        <w:t xml:space="preserve"> encumbrance</w:t>
      </w:r>
      <w:r w:rsidR="00345D9F">
        <w:t>, any positive prior-year BBA’s are reduced to zero through the BBA sweep process</w:t>
      </w:r>
      <w:r w:rsidR="006F240E">
        <w:t>, which runs nightly</w:t>
      </w:r>
      <w:r w:rsidR="00345D9F">
        <w:t>.</w:t>
      </w:r>
    </w:p>
    <w:p w:rsidR="00345D9F" w:rsidRDefault="00345D9F" w:rsidP="00794A87"/>
    <w:p w:rsidR="00D45D19" w:rsidRPr="00086896" w:rsidRDefault="00086896" w:rsidP="00345D9F">
      <w:pPr>
        <w:tabs>
          <w:tab w:val="left" w:pos="1440"/>
          <w:tab w:val="decimal" w:pos="5760"/>
        </w:tabs>
        <w:rPr>
          <w:u w:val="single"/>
        </w:rPr>
      </w:pPr>
      <w:r w:rsidRPr="00086896">
        <w:rPr>
          <w:u w:val="single"/>
        </w:rPr>
        <w:t xml:space="preserve">Important Facts about Prior-Year </w:t>
      </w:r>
      <w:smartTag w:uri="urn:schemas-microsoft-com:office:smarttags" w:element="place">
        <w:r w:rsidRPr="00086896">
          <w:rPr>
            <w:u w:val="single"/>
          </w:rPr>
          <w:t>PO</w:t>
        </w:r>
      </w:smartTag>
      <w:r w:rsidRPr="00086896">
        <w:rPr>
          <w:u w:val="single"/>
        </w:rPr>
        <w:t>’s</w:t>
      </w:r>
    </w:p>
    <w:p w:rsidR="00086896" w:rsidRDefault="00086896" w:rsidP="00345D9F">
      <w:pPr>
        <w:tabs>
          <w:tab w:val="left" w:pos="1440"/>
          <w:tab w:val="decimal" w:pos="5760"/>
        </w:tabs>
      </w:pPr>
    </w:p>
    <w:p w:rsidR="008654E3" w:rsidRDefault="00211C9A" w:rsidP="00086896">
      <w:pPr>
        <w:numPr>
          <w:ilvl w:val="0"/>
          <w:numId w:val="7"/>
        </w:numPr>
        <w:tabs>
          <w:tab w:val="left" w:pos="1440"/>
          <w:tab w:val="decimal" w:pos="5760"/>
        </w:tabs>
      </w:pPr>
      <w:r>
        <w:t xml:space="preserve">Run </w:t>
      </w:r>
      <w:r w:rsidR="008654E3">
        <w:t xml:space="preserve">the PO Status Report </w:t>
      </w:r>
      <w:r w:rsidR="008654E3" w:rsidRPr="008654E3">
        <w:rPr>
          <w:u w:val="single"/>
        </w:rPr>
        <w:t>and</w:t>
      </w:r>
      <w:r w:rsidR="008654E3">
        <w:t xml:space="preserve"> the 1074 Report (sections 1 and 4) to verify the remaining encumbrance amount matches.</w:t>
      </w:r>
    </w:p>
    <w:p w:rsidR="000E23E8" w:rsidRDefault="000E23E8" w:rsidP="00086896">
      <w:pPr>
        <w:numPr>
          <w:ilvl w:val="0"/>
          <w:numId w:val="7"/>
        </w:numPr>
        <w:tabs>
          <w:tab w:val="left" w:pos="1440"/>
          <w:tab w:val="decimal" w:pos="5760"/>
        </w:tabs>
      </w:pPr>
      <w:r>
        <w:t xml:space="preserve">If a PO voucher </w:t>
      </w:r>
      <w:r w:rsidR="000F27FB">
        <w:t>was never created for a prior-year PO and never will be</w:t>
      </w:r>
      <w:r>
        <w:t xml:space="preserve"> created</w:t>
      </w:r>
      <w:r w:rsidR="000F27FB">
        <w:t xml:space="preserve"> for this PO</w:t>
      </w:r>
      <w:r>
        <w:t xml:space="preserve">, </w:t>
      </w:r>
      <w:r w:rsidR="000F27FB">
        <w:t xml:space="preserve">ask Purchasing to </w:t>
      </w:r>
      <w:r>
        <w:t>cancel the PO</w:t>
      </w:r>
      <w:r w:rsidR="000F27FB">
        <w:t xml:space="preserve"> (the Accounting Date and Budget Date must be changed to today’s date before cancelling)</w:t>
      </w:r>
      <w:r>
        <w:t xml:space="preserve">.  </w:t>
      </w:r>
    </w:p>
    <w:p w:rsidR="006F240E" w:rsidRDefault="006F240E" w:rsidP="00086896">
      <w:pPr>
        <w:numPr>
          <w:ilvl w:val="0"/>
          <w:numId w:val="7"/>
        </w:numPr>
        <w:tabs>
          <w:tab w:val="left" w:pos="1440"/>
          <w:tab w:val="decimal" w:pos="5760"/>
        </w:tabs>
      </w:pPr>
      <w:r>
        <w:t xml:space="preserve">If you have questions about prior-year PO encumbrances, please contact </w:t>
      </w:r>
      <w:r w:rsidR="0079017E">
        <w:t>Samantha Yurus</w:t>
      </w:r>
      <w:r w:rsidR="00DB200E">
        <w:t xml:space="preserve"> at 713-743-</w:t>
      </w:r>
      <w:r w:rsidR="0079017E">
        <w:t>8721</w:t>
      </w:r>
      <w:r w:rsidR="00D0792E">
        <w:t>.</w:t>
      </w:r>
      <w:bookmarkStart w:id="0" w:name="_GoBack"/>
      <w:bookmarkEnd w:id="0"/>
    </w:p>
    <w:sectPr w:rsidR="006F240E" w:rsidSect="006F240E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5CE" w:rsidRDefault="008A45CE">
      <w:r>
        <w:separator/>
      </w:r>
    </w:p>
  </w:endnote>
  <w:endnote w:type="continuationSeparator" w:id="0">
    <w:p w:rsidR="008A45CE" w:rsidRDefault="008A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B46" w:rsidRDefault="00E34B46">
    <w:pPr>
      <w:pStyle w:val="Footer"/>
    </w:pPr>
    <w:r>
      <w:t xml:space="preserve">Updated </w:t>
    </w:r>
    <w:r w:rsidR="00711D25">
      <w:t>August</w:t>
    </w:r>
    <w:r w:rsidR="0037634D">
      <w:t xml:space="preserve"> </w:t>
    </w:r>
    <w:r w:rsidR="00711D25">
      <w:t>28</w:t>
    </w:r>
    <w:r w:rsidR="0037634D">
      <w:t>, 202</w:t>
    </w:r>
    <w:r w:rsidR="00711D25">
      <w:t>4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53C5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53C5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5CE" w:rsidRDefault="008A45CE">
      <w:r>
        <w:separator/>
      </w:r>
    </w:p>
  </w:footnote>
  <w:footnote w:type="continuationSeparator" w:id="0">
    <w:p w:rsidR="008A45CE" w:rsidRDefault="008A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B46" w:rsidRPr="00E34B46" w:rsidRDefault="00E34B46" w:rsidP="00E34B46">
    <w:pPr>
      <w:pStyle w:val="Header"/>
      <w:jc w:val="center"/>
      <w:rPr>
        <w:sz w:val="28"/>
        <w:szCs w:val="28"/>
      </w:rPr>
    </w:pPr>
    <w:r w:rsidRPr="00E34B46">
      <w:rPr>
        <w:sz w:val="28"/>
        <w:szCs w:val="28"/>
      </w:rPr>
      <w:t xml:space="preserve">Prior-Year </w:t>
    </w:r>
    <w:smartTag w:uri="urn:schemas-microsoft-com:office:smarttags" w:element="place">
      <w:r w:rsidRPr="00E34B46">
        <w:rPr>
          <w:sz w:val="28"/>
          <w:szCs w:val="28"/>
        </w:rPr>
        <w:t>PO</w:t>
      </w:r>
    </w:smartTag>
    <w:r w:rsidRPr="00E34B46">
      <w:rPr>
        <w:sz w:val="28"/>
        <w:szCs w:val="28"/>
      </w:rPr>
      <w:t xml:space="preserve"> Encumbrances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14382"/>
    <w:multiLevelType w:val="hybridMultilevel"/>
    <w:tmpl w:val="420661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E4D38"/>
    <w:multiLevelType w:val="hybridMultilevel"/>
    <w:tmpl w:val="2D4E5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E3D85"/>
    <w:multiLevelType w:val="hybridMultilevel"/>
    <w:tmpl w:val="BDA628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5F04A8"/>
    <w:multiLevelType w:val="hybridMultilevel"/>
    <w:tmpl w:val="8C9CC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73780"/>
    <w:multiLevelType w:val="hybridMultilevel"/>
    <w:tmpl w:val="DCE28E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E5A530E"/>
    <w:multiLevelType w:val="hybridMultilevel"/>
    <w:tmpl w:val="ED464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5D023B"/>
    <w:multiLevelType w:val="hybridMultilevel"/>
    <w:tmpl w:val="1A92B4C0"/>
    <w:lvl w:ilvl="0" w:tplc="0566935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A87"/>
    <w:rsid w:val="00013311"/>
    <w:rsid w:val="0003181E"/>
    <w:rsid w:val="000411BD"/>
    <w:rsid w:val="00043E4F"/>
    <w:rsid w:val="000558B0"/>
    <w:rsid w:val="0006742B"/>
    <w:rsid w:val="00086896"/>
    <w:rsid w:val="000903E8"/>
    <w:rsid w:val="000A2CDD"/>
    <w:rsid w:val="000A32AF"/>
    <w:rsid w:val="000B31D4"/>
    <w:rsid w:val="000C3927"/>
    <w:rsid w:val="000E23E8"/>
    <w:rsid w:val="000E5D1F"/>
    <w:rsid w:val="000F27FB"/>
    <w:rsid w:val="0010146D"/>
    <w:rsid w:val="001028F3"/>
    <w:rsid w:val="00126A0D"/>
    <w:rsid w:val="001460CE"/>
    <w:rsid w:val="001467E0"/>
    <w:rsid w:val="00151299"/>
    <w:rsid w:val="00161950"/>
    <w:rsid w:val="00164A5F"/>
    <w:rsid w:val="0019365D"/>
    <w:rsid w:val="001A0DF3"/>
    <w:rsid w:val="001A46C0"/>
    <w:rsid w:val="001A6EB1"/>
    <w:rsid w:val="001B4F3A"/>
    <w:rsid w:val="001E382C"/>
    <w:rsid w:val="001E479C"/>
    <w:rsid w:val="001E7CA4"/>
    <w:rsid w:val="00205213"/>
    <w:rsid w:val="00205379"/>
    <w:rsid w:val="00211C9A"/>
    <w:rsid w:val="002146D6"/>
    <w:rsid w:val="00231AE7"/>
    <w:rsid w:val="00250094"/>
    <w:rsid w:val="00251A73"/>
    <w:rsid w:val="00263ABE"/>
    <w:rsid w:val="00263DAB"/>
    <w:rsid w:val="002872B5"/>
    <w:rsid w:val="002B1C48"/>
    <w:rsid w:val="002C4774"/>
    <w:rsid w:val="002E0B86"/>
    <w:rsid w:val="00303D35"/>
    <w:rsid w:val="00311CCC"/>
    <w:rsid w:val="00323710"/>
    <w:rsid w:val="00344B7A"/>
    <w:rsid w:val="00345D9F"/>
    <w:rsid w:val="0037634D"/>
    <w:rsid w:val="00381474"/>
    <w:rsid w:val="003845FB"/>
    <w:rsid w:val="00384A9A"/>
    <w:rsid w:val="003960AB"/>
    <w:rsid w:val="003D068E"/>
    <w:rsid w:val="003D775A"/>
    <w:rsid w:val="003E3FCF"/>
    <w:rsid w:val="00413A11"/>
    <w:rsid w:val="00423A9D"/>
    <w:rsid w:val="004261A7"/>
    <w:rsid w:val="0046405E"/>
    <w:rsid w:val="00486536"/>
    <w:rsid w:val="004962F2"/>
    <w:rsid w:val="004A465A"/>
    <w:rsid w:val="004A78BE"/>
    <w:rsid w:val="004C0BD9"/>
    <w:rsid w:val="004E15AE"/>
    <w:rsid w:val="004E3466"/>
    <w:rsid w:val="005111DF"/>
    <w:rsid w:val="00532A2F"/>
    <w:rsid w:val="00580203"/>
    <w:rsid w:val="00595716"/>
    <w:rsid w:val="00595EDC"/>
    <w:rsid w:val="005A4C41"/>
    <w:rsid w:val="005A522E"/>
    <w:rsid w:val="005C669D"/>
    <w:rsid w:val="005E1D1C"/>
    <w:rsid w:val="006358FA"/>
    <w:rsid w:val="006413EB"/>
    <w:rsid w:val="006555DC"/>
    <w:rsid w:val="00694E87"/>
    <w:rsid w:val="006A56AC"/>
    <w:rsid w:val="006C23EE"/>
    <w:rsid w:val="006D2713"/>
    <w:rsid w:val="006D601F"/>
    <w:rsid w:val="006D7E13"/>
    <w:rsid w:val="006F240E"/>
    <w:rsid w:val="006F26B3"/>
    <w:rsid w:val="007035F7"/>
    <w:rsid w:val="0071104A"/>
    <w:rsid w:val="00711D25"/>
    <w:rsid w:val="007122BA"/>
    <w:rsid w:val="00773963"/>
    <w:rsid w:val="00774149"/>
    <w:rsid w:val="007854A5"/>
    <w:rsid w:val="0079017E"/>
    <w:rsid w:val="00794A87"/>
    <w:rsid w:val="007A7625"/>
    <w:rsid w:val="007B7140"/>
    <w:rsid w:val="007C204A"/>
    <w:rsid w:val="007C2168"/>
    <w:rsid w:val="007C7866"/>
    <w:rsid w:val="007D1F9C"/>
    <w:rsid w:val="007E4CD9"/>
    <w:rsid w:val="007E589A"/>
    <w:rsid w:val="00807AF9"/>
    <w:rsid w:val="00812B34"/>
    <w:rsid w:val="00825395"/>
    <w:rsid w:val="00826D7E"/>
    <w:rsid w:val="008510FB"/>
    <w:rsid w:val="00863C63"/>
    <w:rsid w:val="008654E3"/>
    <w:rsid w:val="00876704"/>
    <w:rsid w:val="008811F5"/>
    <w:rsid w:val="008932B3"/>
    <w:rsid w:val="00893846"/>
    <w:rsid w:val="008A45CE"/>
    <w:rsid w:val="008D173A"/>
    <w:rsid w:val="008D73D4"/>
    <w:rsid w:val="00902F5A"/>
    <w:rsid w:val="00904DDC"/>
    <w:rsid w:val="009264DA"/>
    <w:rsid w:val="00945294"/>
    <w:rsid w:val="0099378D"/>
    <w:rsid w:val="009B45F8"/>
    <w:rsid w:val="009D5316"/>
    <w:rsid w:val="00A14734"/>
    <w:rsid w:val="00A55985"/>
    <w:rsid w:val="00A65329"/>
    <w:rsid w:val="00A826ED"/>
    <w:rsid w:val="00A8421D"/>
    <w:rsid w:val="00A94C89"/>
    <w:rsid w:val="00A97135"/>
    <w:rsid w:val="00AA7AF0"/>
    <w:rsid w:val="00AF1ECC"/>
    <w:rsid w:val="00B06854"/>
    <w:rsid w:val="00B220D8"/>
    <w:rsid w:val="00B37462"/>
    <w:rsid w:val="00B472D9"/>
    <w:rsid w:val="00B53C5F"/>
    <w:rsid w:val="00B749B7"/>
    <w:rsid w:val="00B85C8B"/>
    <w:rsid w:val="00B92A25"/>
    <w:rsid w:val="00B946DC"/>
    <w:rsid w:val="00B9539E"/>
    <w:rsid w:val="00BA0B44"/>
    <w:rsid w:val="00BA6441"/>
    <w:rsid w:val="00BB21E7"/>
    <w:rsid w:val="00BC5BCD"/>
    <w:rsid w:val="00BE40C8"/>
    <w:rsid w:val="00C047F2"/>
    <w:rsid w:val="00C0503C"/>
    <w:rsid w:val="00C068EA"/>
    <w:rsid w:val="00C0734D"/>
    <w:rsid w:val="00C13315"/>
    <w:rsid w:val="00C21F88"/>
    <w:rsid w:val="00C253BD"/>
    <w:rsid w:val="00C32946"/>
    <w:rsid w:val="00C71741"/>
    <w:rsid w:val="00C74E2B"/>
    <w:rsid w:val="00C87629"/>
    <w:rsid w:val="00C93F52"/>
    <w:rsid w:val="00CA3B89"/>
    <w:rsid w:val="00CC4408"/>
    <w:rsid w:val="00CD3886"/>
    <w:rsid w:val="00D06CB1"/>
    <w:rsid w:val="00D0792E"/>
    <w:rsid w:val="00D358DE"/>
    <w:rsid w:val="00D45D19"/>
    <w:rsid w:val="00D54064"/>
    <w:rsid w:val="00D67412"/>
    <w:rsid w:val="00D67F76"/>
    <w:rsid w:val="00D7130A"/>
    <w:rsid w:val="00D73429"/>
    <w:rsid w:val="00D941FA"/>
    <w:rsid w:val="00D9728A"/>
    <w:rsid w:val="00DA3875"/>
    <w:rsid w:val="00DA5B13"/>
    <w:rsid w:val="00DB200E"/>
    <w:rsid w:val="00DD37DD"/>
    <w:rsid w:val="00DD750A"/>
    <w:rsid w:val="00DE3D97"/>
    <w:rsid w:val="00DE715A"/>
    <w:rsid w:val="00DF1072"/>
    <w:rsid w:val="00E04EF1"/>
    <w:rsid w:val="00E06AAC"/>
    <w:rsid w:val="00E34B46"/>
    <w:rsid w:val="00E350B8"/>
    <w:rsid w:val="00E51C33"/>
    <w:rsid w:val="00E54501"/>
    <w:rsid w:val="00E5509F"/>
    <w:rsid w:val="00E6226F"/>
    <w:rsid w:val="00E71CBB"/>
    <w:rsid w:val="00E7319E"/>
    <w:rsid w:val="00E968EE"/>
    <w:rsid w:val="00EA2019"/>
    <w:rsid w:val="00EB2623"/>
    <w:rsid w:val="00EB2EDC"/>
    <w:rsid w:val="00EB3D09"/>
    <w:rsid w:val="00EB480F"/>
    <w:rsid w:val="00ED3A17"/>
    <w:rsid w:val="00EE4B2D"/>
    <w:rsid w:val="00EE733A"/>
    <w:rsid w:val="00EF1501"/>
    <w:rsid w:val="00F02923"/>
    <w:rsid w:val="00F16CDC"/>
    <w:rsid w:val="00F17307"/>
    <w:rsid w:val="00F33D57"/>
    <w:rsid w:val="00F61BD0"/>
    <w:rsid w:val="00F729C3"/>
    <w:rsid w:val="00F81CF0"/>
    <w:rsid w:val="00F83234"/>
    <w:rsid w:val="00FB5B08"/>
    <w:rsid w:val="00FD5262"/>
    <w:rsid w:val="00FF2E3F"/>
    <w:rsid w:val="00FF55F2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79A9D26"/>
  <w15:chartTrackingRefBased/>
  <w15:docId w15:val="{27C6F050-299E-4F03-8993-EF5FB8BC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24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24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240E"/>
  </w:style>
  <w:style w:type="paragraph" w:styleId="BalloonText">
    <w:name w:val="Balloon Text"/>
    <w:basedOn w:val="Normal"/>
    <w:semiHidden/>
    <w:rsid w:val="00F33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348B-74D3-44EE-9655-16278C63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Prior-Year PO Encumbrances</vt:lpstr>
    </vt:vector>
  </TitlesOfParts>
  <Company>University of Houston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Prior-Year PO Encumbrances</dc:title>
  <dc:subject/>
  <dc:creator>glisson</dc:creator>
  <cp:keywords/>
  <cp:lastModifiedBy>Hoang, Andrew L</cp:lastModifiedBy>
  <cp:revision>3</cp:revision>
  <cp:lastPrinted>2008-08-11T17:10:00Z</cp:lastPrinted>
  <dcterms:created xsi:type="dcterms:W3CDTF">2024-08-28T14:50:00Z</dcterms:created>
  <dcterms:modified xsi:type="dcterms:W3CDTF">2024-08-28T14:54:00Z</dcterms:modified>
</cp:coreProperties>
</file>