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BAC35" w14:textId="77777777" w:rsidR="00C63313" w:rsidRDefault="00C63313" w:rsidP="00C6331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Research Computing Data Core (RCDC):</w:t>
      </w:r>
    </w:p>
    <w:p w14:paraId="087A52DC" w14:textId="77777777" w:rsidR="00C63313" w:rsidRDefault="00C63313" w:rsidP="00C6331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 </w:t>
      </w:r>
    </w:p>
    <w:p w14:paraId="57C98116" w14:textId="77777777" w:rsidR="00C63313" w:rsidRDefault="00C63313" w:rsidP="0009120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The Hewlett Packard Enterprise Data Science Institute (HPE DSI) is located in the new $51M USD Durga D. and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Sushila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Agrawal Engineering Research Building. HPE DSI owns and maintains several high performance computing platforms that are housed in its Research Computing Data Core (RCDC). </w:t>
      </w:r>
    </w:p>
    <w:p w14:paraId="686A078D" w14:textId="2462C4F1" w:rsidR="00C63313" w:rsidRDefault="00C63313" w:rsidP="0009120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HPE DSI supports researchers and projects by offering leading-edge computational resources. Capabilities include high-capacity storage and backup, parallel and big data applications, high-speed networking and access to widely used software. The HPE DSI has </w:t>
      </w:r>
      <w:r w:rsidR="00091204">
        <w:rPr>
          <w:rFonts w:ascii="Calibri" w:hAnsi="Calibri" w:cs="Calibri"/>
          <w:i/>
          <w:iCs/>
          <w:sz w:val="22"/>
          <w:szCs w:val="22"/>
        </w:rPr>
        <w:t>three</w:t>
      </w:r>
      <w:r>
        <w:rPr>
          <w:rFonts w:ascii="Calibri" w:hAnsi="Calibri" w:cs="Calibri"/>
          <w:i/>
          <w:iCs/>
          <w:sz w:val="22"/>
          <w:szCs w:val="22"/>
        </w:rPr>
        <w:t xml:space="preserve"> large clusters, Opuntia</w:t>
      </w:r>
      <w:r w:rsidR="00091204">
        <w:rPr>
          <w:rFonts w:ascii="Calibri" w:hAnsi="Calibri" w:cs="Calibri"/>
          <w:i/>
          <w:iCs/>
          <w:sz w:val="22"/>
          <w:szCs w:val="22"/>
        </w:rPr>
        <w:t xml:space="preserve">, </w:t>
      </w:r>
      <w:r>
        <w:rPr>
          <w:rFonts w:ascii="Calibri" w:hAnsi="Calibri" w:cs="Calibri"/>
          <w:i/>
          <w:iCs/>
          <w:sz w:val="22"/>
          <w:szCs w:val="22"/>
        </w:rPr>
        <w:t xml:space="preserve">Sabine, </w:t>
      </w:r>
      <w:r w:rsidR="00091204">
        <w:rPr>
          <w:rFonts w:ascii="Calibri" w:hAnsi="Calibri" w:cs="Calibri"/>
          <w:i/>
          <w:iCs/>
          <w:sz w:val="22"/>
          <w:szCs w:val="22"/>
        </w:rPr>
        <w:t xml:space="preserve">and Carya </w:t>
      </w:r>
      <w:r>
        <w:rPr>
          <w:rFonts w:ascii="Calibri" w:hAnsi="Calibri" w:cs="Calibri"/>
          <w:i/>
          <w:iCs/>
          <w:sz w:val="22"/>
          <w:szCs w:val="22"/>
        </w:rPr>
        <w:t xml:space="preserve">to support scientific computation, big data/analytics applications and large-scale data storage, and also managed a large cluster procured from the NSF. </w:t>
      </w:r>
    </w:p>
    <w:p w14:paraId="46B08EE7" w14:textId="77777777" w:rsidR="00C63313" w:rsidRDefault="00C63313" w:rsidP="0009120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 </w:t>
      </w:r>
    </w:p>
    <w:p w14:paraId="7E671638" w14:textId="77777777" w:rsidR="00C63313" w:rsidRDefault="00C63313" w:rsidP="0009120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Opuntia: contains 1,860 cores (within 80 HP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Proliant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SL 230 compute blades), and 4 HP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Proliant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SL 250 NVIDIA K40 GPGPU blades. The system is also equipped with 3 large memory nodes – 1 HP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Proliant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DL 580 with 1 TB of main memory and 2 HP DL 560 each with 512 GB of main memory. The system storage includes a ~600 TB shared file system. Opuntia also provides access to eight nodes containing two NVIDIA GPU’s, giving users access to high-throughput computing and remote visualization capabilities respectively. A 56 Gb/s Ethernet Mellanox switch fabric interconnects the nodes (I/O and compute). Theoretical peak performance is approximately 58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TFlops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>.</w:t>
      </w:r>
    </w:p>
    <w:p w14:paraId="53CC6E89" w14:textId="77777777" w:rsidR="00C63313" w:rsidRDefault="00C63313" w:rsidP="0009120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aps/>
          <w:sz w:val="22"/>
          <w:szCs w:val="22"/>
        </w:rPr>
        <w:t> </w:t>
      </w:r>
    </w:p>
    <w:p w14:paraId="64B951E9" w14:textId="005B6868" w:rsidR="00C63313" w:rsidRDefault="00C63313" w:rsidP="0009120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Sabine: </w:t>
      </w:r>
      <w:r w:rsidR="00091204">
        <w:rPr>
          <w:rFonts w:ascii="Calibri" w:hAnsi="Calibri" w:cs="Calibri"/>
          <w:i/>
          <w:iCs/>
          <w:sz w:val="22"/>
          <w:szCs w:val="22"/>
        </w:rPr>
        <w:t>contains</w:t>
      </w:r>
      <w:r>
        <w:rPr>
          <w:rFonts w:ascii="Calibri" w:hAnsi="Calibri" w:cs="Calibri"/>
          <w:i/>
          <w:iCs/>
          <w:sz w:val="22"/>
          <w:szCs w:val="22"/>
        </w:rPr>
        <w:t xml:space="preserve"> 5,704 CPU cores in 147 compute and 12 GPU nodes, including four nodes with 8 NVIDIA V100 cards each and a large memory (768GB) node (116 HPE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Proliant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XL170r nodes, and 8 HPE ProLiant XL190r nodes). Sabine also provides access to eight nodes containing two NVIDIA Pascal GPU’s, giving users access to high-throughput computing and remote visualization capabilities respectively. Sabine has 530 TB of usable NFS shared storage, and 235 TB of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Lustre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storage for parallel IO applications, and its nodes are connected via Intel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OmniPath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switch with a 100Gb Line Rate. Theoretical peak performance is approximately 600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TFlops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>.</w:t>
      </w:r>
    </w:p>
    <w:p w14:paraId="75545517" w14:textId="3F513849" w:rsidR="00091204" w:rsidRDefault="00091204" w:rsidP="0009120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488572C" w14:textId="14494636" w:rsidR="00C63313" w:rsidRDefault="00091204" w:rsidP="00091204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Carya: </w:t>
      </w:r>
      <w:r>
        <w:rPr>
          <w:rFonts w:ascii="Calibri" w:hAnsi="Calibri" w:cs="Calibri"/>
          <w:i/>
          <w:iCs/>
        </w:rPr>
        <w:t>is the latest addition to the RCDC</w:t>
      </w:r>
      <w:r>
        <w:rPr>
          <w:rFonts w:ascii="Calibri" w:hAnsi="Calibri" w:cs="Calibri"/>
          <w:i/>
          <w:iCs/>
        </w:rPr>
        <w:t xml:space="preserve">, 2020, </w:t>
      </w:r>
      <w:r w:rsidRPr="00091204">
        <w:rPr>
          <w:rFonts w:ascii="Calibri" w:hAnsi="Calibri" w:cs="Calibri"/>
          <w:i/>
          <w:iCs/>
        </w:rPr>
        <w:t>offer</w:t>
      </w:r>
      <w:r>
        <w:rPr>
          <w:rFonts w:ascii="Calibri" w:hAnsi="Calibri" w:cs="Calibri"/>
          <w:i/>
          <w:iCs/>
        </w:rPr>
        <w:t>ing</w:t>
      </w:r>
      <w:r w:rsidRPr="00091204">
        <w:rPr>
          <w:rFonts w:ascii="Calibri" w:hAnsi="Calibri" w:cs="Calibri"/>
          <w:i/>
          <w:iCs/>
        </w:rPr>
        <w:t xml:space="preserve"> a total of 208 Hewlett Packard Enterprise compute HPE nodes </w:t>
      </w:r>
      <w:r>
        <w:rPr>
          <w:rFonts w:ascii="Calibri" w:hAnsi="Calibri" w:cs="Calibri"/>
          <w:i/>
          <w:iCs/>
        </w:rPr>
        <w:t>(</w:t>
      </w:r>
      <w:r w:rsidRPr="00091204">
        <w:rPr>
          <w:rFonts w:ascii="Calibri" w:hAnsi="Calibri" w:cs="Calibri"/>
          <w:i/>
          <w:iCs/>
        </w:rPr>
        <w:t>ProLiant HPE XL170r</w:t>
      </w:r>
      <w:r w:rsidRPr="00091204">
        <w:rPr>
          <w:rFonts w:ascii="Calibri" w:hAnsi="Calibri" w:cs="Calibri"/>
          <w:i/>
          <w:iCs/>
        </w:rPr>
        <w:t xml:space="preserve"> and </w:t>
      </w:r>
      <w:r w:rsidRPr="00091204">
        <w:rPr>
          <w:rFonts w:ascii="Calibri" w:hAnsi="Calibri" w:cs="Calibri"/>
          <w:i/>
          <w:iCs/>
        </w:rPr>
        <w:t>HPE ProLiant DL380</w:t>
      </w:r>
      <w:r>
        <w:rPr>
          <w:rFonts w:ascii="Calibri" w:hAnsi="Calibri" w:cs="Calibri"/>
          <w:i/>
          <w:iCs/>
        </w:rPr>
        <w:t xml:space="preserve">) </w:t>
      </w:r>
      <w:r w:rsidRPr="00091204">
        <w:rPr>
          <w:rFonts w:ascii="Calibri" w:hAnsi="Calibri" w:cs="Calibri"/>
          <w:i/>
          <w:iCs/>
        </w:rPr>
        <w:t>and 64 Nvidia Volta V100 GPUs</w:t>
      </w:r>
      <w:r>
        <w:rPr>
          <w:rFonts w:ascii="Calibri" w:hAnsi="Calibri" w:cs="Calibri"/>
          <w:i/>
          <w:iCs/>
        </w:rPr>
        <w:t xml:space="preserve"> (Accelerator </w:t>
      </w:r>
      <w:r w:rsidRPr="00091204">
        <w:rPr>
          <w:rFonts w:ascii="Calibri" w:hAnsi="Calibri" w:cs="Calibri"/>
          <w:i/>
          <w:iCs/>
        </w:rPr>
        <w:t>HPE ProLiant XL270d</w:t>
      </w:r>
      <w:r>
        <w:rPr>
          <w:rFonts w:ascii="Calibri" w:hAnsi="Calibri" w:cs="Calibri"/>
          <w:i/>
          <w:iCs/>
        </w:rPr>
        <w:t xml:space="preserve"> &amp; XL190r)</w:t>
      </w:r>
      <w:r w:rsidRPr="00091204">
        <w:rPr>
          <w:rFonts w:ascii="Calibri" w:hAnsi="Calibri" w:cs="Calibri"/>
          <w:i/>
          <w:iCs/>
        </w:rPr>
        <w:t xml:space="preserve">. </w:t>
      </w:r>
      <w:r>
        <w:rPr>
          <w:rFonts w:ascii="Calibri" w:hAnsi="Calibri" w:cs="Calibri"/>
          <w:i/>
          <w:iCs/>
        </w:rPr>
        <w:t>It contains about 10,000</w:t>
      </w:r>
      <w:r w:rsidRPr="00091204">
        <w:rPr>
          <w:rFonts w:ascii="Calibri" w:hAnsi="Calibri" w:cs="Calibri"/>
          <w:i/>
          <w:iCs/>
        </w:rPr>
        <w:t xml:space="preserve"> CPU cores, 327K GPU cores, 45 TB of main memory and 2 TB of high bandwidth GPU memory. Carya nodes are connected via Mellanox HDR </w:t>
      </w:r>
      <w:proofErr w:type="spellStart"/>
      <w:r w:rsidRPr="00091204">
        <w:rPr>
          <w:rFonts w:ascii="Calibri" w:hAnsi="Calibri" w:cs="Calibri"/>
          <w:i/>
          <w:iCs/>
        </w:rPr>
        <w:t>Infiniband</w:t>
      </w:r>
      <w:proofErr w:type="spellEnd"/>
      <w:r w:rsidRPr="00091204">
        <w:rPr>
          <w:rFonts w:ascii="Calibri" w:hAnsi="Calibri" w:cs="Calibri"/>
          <w:i/>
          <w:iCs/>
        </w:rPr>
        <w:t xml:space="preserve"> switch with 100Gb/s Line Rate. </w:t>
      </w:r>
      <w:r>
        <w:rPr>
          <w:rFonts w:ascii="Calibri" w:hAnsi="Calibri" w:cs="Calibri"/>
          <w:i/>
          <w:iCs/>
        </w:rPr>
        <w:t>This cluster</w:t>
      </w:r>
      <w:r w:rsidRPr="00091204">
        <w:rPr>
          <w:rFonts w:ascii="Calibri" w:hAnsi="Calibri" w:cs="Calibri"/>
          <w:i/>
          <w:iCs/>
        </w:rPr>
        <w:t xml:space="preserve"> has 1,560 TB of shared hard-disk based storage and 122 TB of shared flash storage space.</w:t>
      </w:r>
      <w:r>
        <w:rPr>
          <w:rFonts w:ascii="Calibri" w:hAnsi="Calibri" w:cs="Calibri"/>
          <w:i/>
          <w:iCs/>
        </w:rPr>
        <w:t xml:space="preserve"> </w:t>
      </w:r>
      <w:r w:rsidRPr="00091204">
        <w:rPr>
          <w:rFonts w:ascii="Calibri" w:hAnsi="Calibri" w:cs="Calibri"/>
          <w:i/>
          <w:iCs/>
        </w:rPr>
        <w:t xml:space="preserve">Theoretical peak performance </w:t>
      </w:r>
      <w:r>
        <w:rPr>
          <w:rFonts w:ascii="Calibri" w:hAnsi="Calibri" w:cs="Calibri"/>
          <w:i/>
          <w:iCs/>
        </w:rPr>
        <w:t>is approximately</w:t>
      </w:r>
      <w:r w:rsidRPr="00091204">
        <w:rPr>
          <w:rFonts w:ascii="Calibri" w:hAnsi="Calibri" w:cs="Calibri"/>
          <w:i/>
          <w:iCs/>
        </w:rPr>
        <w:t xml:space="preserve"> 770 Teraflops</w:t>
      </w:r>
      <w:r>
        <w:rPr>
          <w:rFonts w:ascii="Calibri" w:hAnsi="Calibri" w:cs="Calibri"/>
          <w:i/>
          <w:iCs/>
        </w:rPr>
        <w:t>.</w:t>
      </w:r>
      <w:r w:rsidR="00C63313">
        <w:rPr>
          <w:rFonts w:ascii="Calibri" w:hAnsi="Calibri" w:cs="Calibri"/>
          <w:i/>
          <w:iCs/>
        </w:rPr>
        <w:t> </w:t>
      </w:r>
    </w:p>
    <w:p w14:paraId="6D8512AA" w14:textId="77777777" w:rsidR="00C63313" w:rsidRDefault="00C63313" w:rsidP="0009120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Visualization Theater: The Visualization Theater features seating for 30 people and a 16’x9′ screen supporting 4K digital cinema, 4096 x 2160 and both active and passive stereo 3D modes. The system is powered by a workstation with 64 GB RAM and dual Intel Xeon Haswell processors (E5-2618L v3, 8 cores), and 2 TB of local storage. Two AMD v8800 graphics cards drive two Sony SRX-S105 projectors with polarizing shutter filters at 4096 x 2160 pixels. The theater is also equipped with 7.1 surround sound.</w:t>
      </w:r>
    </w:p>
    <w:p w14:paraId="5615AA89" w14:textId="77777777" w:rsidR="00D96A51" w:rsidRDefault="00101B9B" w:rsidP="00091204">
      <w:pPr>
        <w:jc w:val="both"/>
      </w:pPr>
    </w:p>
    <w:sectPr w:rsidR="00D96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13"/>
    <w:rsid w:val="00091204"/>
    <w:rsid w:val="00101B9B"/>
    <w:rsid w:val="002C51C7"/>
    <w:rsid w:val="00746E93"/>
    <w:rsid w:val="00C6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3D5AF"/>
  <w15:chartTrackingRefBased/>
  <w15:docId w15:val="{966CA0D3-2BCD-4350-8F06-607CC92A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2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17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E081E70AA2A4BB2E02FEF5900D7ED" ma:contentTypeVersion="7" ma:contentTypeDescription="Create a new document." ma:contentTypeScope="" ma:versionID="956a3e3a38d6fe69b47c82866eab37d9">
  <xsd:schema xmlns:xsd="http://www.w3.org/2001/XMLSchema" xmlns:xs="http://www.w3.org/2001/XMLSchema" xmlns:p="http://schemas.microsoft.com/office/2006/metadata/properties" xmlns:ns2="1dda299f-9ba4-4e75-b145-296072736ef9" xmlns:ns3="de5b634a-f16d-4b6e-aed3-c23156b6451f" targetNamespace="http://schemas.microsoft.com/office/2006/metadata/properties" ma:root="true" ma:fieldsID="9ffdf14273981654f9864b7ec7b6f53c" ns2:_="" ns3:_="">
    <xsd:import namespace="1dda299f-9ba4-4e75-b145-296072736ef9"/>
    <xsd:import namespace="de5b634a-f16d-4b6e-aed3-c23156b64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a299f-9ba4-4e75-b145-296072736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b634a-f16d-4b6e-aed3-c23156b64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0D50B-FD65-4CC1-A0CA-CE8FF0165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a299f-9ba4-4e75-b145-296072736ef9"/>
    <ds:schemaRef ds:uri="de5b634a-f16d-4b6e-aed3-c23156b64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753FE-423C-4CFD-9180-A0D7F3B8AF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584C59-91D2-43B2-AB3E-3017A2F89D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Huarte Espinosa, Martin</cp:lastModifiedBy>
  <cp:revision>2</cp:revision>
  <dcterms:created xsi:type="dcterms:W3CDTF">2020-09-10T20:15:00Z</dcterms:created>
  <dcterms:modified xsi:type="dcterms:W3CDTF">2020-09-10T20:15:00Z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0x010100251E081E70AA2A4BB2E02FEF5900D7ED</vt:lpwstr>
  </property>
</Properties>
</file>